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EA5" w14:textId="71B75067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3442">
        <w:rPr>
          <w:rFonts w:ascii="Times New Roman" w:hAnsi="Times New Roman" w:cs="Times New Roman"/>
          <w:b/>
          <w:color w:val="FF0000"/>
          <w:sz w:val="24"/>
          <w:szCs w:val="24"/>
        </w:rPr>
        <w:t>августа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A03442">
        <w:rPr>
          <w:rFonts w:ascii="Times New Roman" w:hAnsi="Times New Roman" w:cs="Times New Roman"/>
          <w:b/>
          <w:color w:val="FF0000"/>
          <w:sz w:val="24"/>
          <w:szCs w:val="24"/>
        </w:rPr>
        <w:t>августа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56FC2FB9" w14:textId="74A2B421" w:rsidR="0042427B" w:rsidRDefault="000F10D4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6706F48A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муниципальном образовании «Починковский район» Смоленской области </w:t>
      </w:r>
      <w:r w:rsidR="00A03442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10.08.2022 по 10.08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14:paraId="0717F5FE" w14:textId="77777777" w:rsidR="00404F22" w:rsidRDefault="00404F22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404F22" w:rsidRPr="00404F22" w14:paraId="517E8580" w14:textId="77777777" w:rsidTr="008B7063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345A76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2233BA6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  <w:proofErr w:type="gramEnd"/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5833D7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06DAD21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3BB2CA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0EACCA2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15D3F89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FF451B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5AF0587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04F22" w:rsidRPr="00404F22" w14:paraId="440FD177" w14:textId="77777777" w:rsidTr="008B7063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14:paraId="7DD46925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4FD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676343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FBCECF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DDB2C7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C46040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514A9B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43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DD83A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404F22" w:rsidRPr="00404F22" w14:paraId="691CF9A3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DE3A67C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BE3D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36CDFD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2D2E42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F86E7A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572FDA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77A3B8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4B4D2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DB2B6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404F22" w:rsidRPr="00404F22" w14:paraId="339CF98D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7A1DFB9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7933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B066DD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0AFF86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9D8EBC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1D9BD8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947EF0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A8DDD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53883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404F22" w:rsidRPr="00404F22" w14:paraId="6E0DA63A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81E54B7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6B1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0015F5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FB391E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6F12A1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CE81CD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FA6C98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8D478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FF0FC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404F22" w:rsidRPr="00404F22" w14:paraId="624747E7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CAEE3DA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E182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84324B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2E4A7A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900480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AD6E06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6C777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2FB6B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827EC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404F22" w:rsidRPr="00404F22" w14:paraId="7B4D4F60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39E430E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DA1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637D8C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7835A3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5283A8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35B463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FA22DC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C4390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1CC07A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-5,41</w:t>
            </w:r>
          </w:p>
        </w:tc>
      </w:tr>
      <w:tr w:rsidR="00404F22" w:rsidRPr="00404F22" w14:paraId="7A7361DD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FEB164D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E8C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C74E43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B653A9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585E72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D00DE3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55AB0A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382FD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8F386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-0,29</w:t>
            </w:r>
          </w:p>
        </w:tc>
      </w:tr>
      <w:tr w:rsidR="00404F22" w:rsidRPr="00404F22" w14:paraId="75DD83DA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77E6022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D424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9E9301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1E7838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9ACC3D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3E17F4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CDD53E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1E9E30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B81A8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404F22" w:rsidRPr="00404F22" w14:paraId="4F1BFAF8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E183CDA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5E60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7A840E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CCF727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D679CD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AF9D5B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D891BA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FF7DD9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2FDD688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404F22" w:rsidRPr="00404F22" w14:paraId="68B851D1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F77D495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45D3" w14:textId="77777777" w:rsidR="00404F22" w:rsidRPr="00404F22" w:rsidRDefault="00404F22" w:rsidP="00404F22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B3A867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F467D9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E4DFB2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A9D2F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E0E99C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2F526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78CF5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404F22" w:rsidRPr="00404F22" w14:paraId="57E08202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227A4C2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542F" w14:textId="77777777" w:rsidR="00404F22" w:rsidRPr="00404F22" w:rsidRDefault="00404F22" w:rsidP="00404F22">
            <w:pPr>
              <w:spacing w:after="0" w:line="240" w:lineRule="auto"/>
              <w:ind w:right="-269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CF2614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98A8E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397F62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7C9FF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B69C41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95458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09A3B4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404F22" w:rsidRPr="00404F22" w14:paraId="50465F9E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AE86C8E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57A8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2C49A3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B5D86E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E0C171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DFA84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F475F1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18EBF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22774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404F22" w:rsidRPr="00404F22" w14:paraId="6ECDBFFC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6CF0A2A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B7F6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F2F35E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132C69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3F95E2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09CF89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0F8D80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852A7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BBC6F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</w:tr>
      <w:tr w:rsidR="00404F22" w:rsidRPr="00404F22" w14:paraId="2D0F3407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64B0BEC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53CB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53C84A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DB93EA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6A5538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F831B9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3C75C9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3888D8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E6747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-8,5</w:t>
            </w:r>
          </w:p>
        </w:tc>
      </w:tr>
      <w:tr w:rsidR="00404F22" w:rsidRPr="00404F22" w14:paraId="439A2972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B4BC3DD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E86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7F0D15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C9B7D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438C59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1018C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3861E7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4B210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3E0D8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-0,94</w:t>
            </w:r>
          </w:p>
        </w:tc>
      </w:tr>
      <w:tr w:rsidR="00404F22" w:rsidRPr="00404F22" w14:paraId="0071200B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C34CABE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3B5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893A8C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3BF5F1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FB0E6E7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097001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BEA3EF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7EDC8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E18F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</w:tr>
      <w:tr w:rsidR="00404F22" w:rsidRPr="00404F22" w14:paraId="12E19D0C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EE6E4B8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2C74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B7339A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E7816F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0168E6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C62AD0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941598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0D495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C2DE9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404F22" w:rsidRPr="00404F22" w14:paraId="5CB1CA0D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452A18F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0BD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6167AD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7727AB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DD9BF2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5880A3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EFDF81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024599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8D9C4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404F22" w:rsidRPr="00404F22" w14:paraId="6A71866E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BA148A3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EFA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BEA5DE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920AAF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54C06A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A8C3C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56ACA1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D6807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0AEEA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404F22" w:rsidRPr="00404F22" w14:paraId="1CD5AA1B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03F120A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C893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C52790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2FAFD2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1CDBC2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CB8AE0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3F8949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6A179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18ADF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404F22" w:rsidRPr="00404F22" w14:paraId="0B4C6F9C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BEB8016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143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4055F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52DC6C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82FC46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B8E131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47EF5E8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AC80B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D22E7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-3,54</w:t>
            </w:r>
          </w:p>
        </w:tc>
      </w:tr>
      <w:tr w:rsidR="00404F22" w:rsidRPr="00404F22" w14:paraId="689A61C4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E625CE3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2031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6E9ECB0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72A039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1D78D3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5526C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6278FA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C0235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18705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4F22" w:rsidRPr="00404F22" w14:paraId="01B37787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5A583D5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DDF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8B5766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48BC71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162E69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A3467F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7859BB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B48B2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4B742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404F22" w:rsidRPr="00404F22" w14:paraId="2E98EA4E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CFD1F7A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7651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AA100F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DAE705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817F84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A9C39EB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666D7D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27258E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C93F9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4F22" w:rsidRPr="00404F22" w14:paraId="0DD9FB7C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B618E80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8803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404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B02A7D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FECD6C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BF7EED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193E0C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1228D81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59B60A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80239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404F22" w:rsidRPr="00404F22" w14:paraId="6E69AC61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E916F0D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4FF8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92E958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B2ABA2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135264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F0ACBD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C3A9A3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3C43FE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0950B3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404F22" w:rsidRPr="00404F22" w14:paraId="29F7FE8B" w14:textId="77777777" w:rsidTr="008B706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706FEC5" w14:textId="77777777" w:rsidR="00404F22" w:rsidRPr="00404F22" w:rsidRDefault="00404F22" w:rsidP="00404F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BD3C" w14:textId="77777777" w:rsidR="00404F22" w:rsidRPr="00404F22" w:rsidRDefault="00404F22" w:rsidP="0040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7306F5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82BBCC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0F5571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F1BB7F2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56C928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13E6085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09A47C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404F22" w:rsidRPr="00404F22" w14:paraId="232331F2" w14:textId="77777777" w:rsidTr="008B706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29ECD7A4" w14:textId="77777777" w:rsidR="00404F22" w:rsidRPr="00404F22" w:rsidRDefault="00404F22" w:rsidP="00404F2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E196A71" w14:textId="24EEEFE1" w:rsidR="00404F22" w:rsidRPr="00404F22" w:rsidRDefault="00364CC7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015764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267339F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36599</w:t>
            </w:r>
            <w:bookmarkStart w:id="0" w:name="_GoBack"/>
            <w:bookmarkEnd w:id="0"/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C342C96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89F3774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F1F497D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530CEA" w14:textId="77777777" w:rsidR="00404F22" w:rsidRPr="00404F22" w:rsidRDefault="00404F22" w:rsidP="00404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</w:tbl>
    <w:p w14:paraId="3D44C679" w14:textId="77777777" w:rsidR="00404F22" w:rsidRDefault="00404F22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F62ABAE" w14:textId="58A84DA4" w:rsidR="0042427B" w:rsidRDefault="00161617" w:rsidP="00404F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A03442">
        <w:rPr>
          <w:rFonts w:ascii="Times New Roman" w:hAnsi="Times New Roman" w:cs="Times New Roman"/>
          <w:sz w:val="24"/>
          <w:szCs w:val="24"/>
        </w:rPr>
        <w:t>августа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A03442">
        <w:rPr>
          <w:rFonts w:ascii="Times New Roman" w:hAnsi="Times New Roman" w:cs="Times New Roman"/>
          <w:sz w:val="24"/>
          <w:szCs w:val="24"/>
        </w:rPr>
        <w:t>август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03442">
        <w:rPr>
          <w:rFonts w:ascii="Times New Roman" w:hAnsi="Times New Roman" w:cs="Times New Roman"/>
          <w:sz w:val="24"/>
          <w:szCs w:val="24"/>
        </w:rPr>
        <w:t>8</w:t>
      </w:r>
      <w:r w:rsidR="00345E29" w:rsidRPr="007D7167">
        <w:rPr>
          <w:rFonts w:ascii="Times New Roman" w:hAnsi="Times New Roman" w:cs="Times New Roman"/>
          <w:sz w:val="24"/>
          <w:szCs w:val="24"/>
        </w:rPr>
        <w:t>,5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03442">
        <w:rPr>
          <w:rFonts w:ascii="Times New Roman" w:hAnsi="Times New Roman" w:cs="Times New Roman"/>
          <w:sz w:val="24"/>
          <w:szCs w:val="24"/>
        </w:rPr>
        <w:t>51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A03442">
        <w:rPr>
          <w:rFonts w:ascii="Times New Roman" w:hAnsi="Times New Roman" w:cs="Times New Roman"/>
          <w:sz w:val="24"/>
          <w:szCs w:val="24"/>
        </w:rPr>
        <w:t>За 7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A03442">
        <w:rPr>
          <w:rFonts w:ascii="Times New Roman" w:hAnsi="Times New Roman" w:cs="Times New Roman"/>
          <w:sz w:val="24"/>
          <w:szCs w:val="24"/>
        </w:rPr>
        <w:t>на 6,8%  (40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587BCA8A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A034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041F82BC" w:rsidR="00CF6E7A" w:rsidRPr="00B03B49" w:rsidRDefault="00CF6E7A" w:rsidP="00A03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A034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074B4F59" w:rsidR="00E83947" w:rsidRPr="00122377" w:rsidRDefault="00A034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EF04BF7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91931E7" w:rsidR="00E83947" w:rsidRPr="00122377" w:rsidRDefault="00903D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6F25C3C0" w:rsidR="00E83947" w:rsidRPr="00122377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185DA57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7C96F248" w:rsidR="00E83947" w:rsidRPr="00122377" w:rsidRDefault="00B33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</w:t>
            </w:r>
            <w:r w:rsidR="0032754E" w:rsidRPr="0012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6B5DBE" w:rsidRPr="0042427B" w14:paraId="121E7348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32F3DFC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6B5DBE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1FB725D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2AE478AB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F63D9FF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51D931E" w:rsidR="006B5DBE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000EF50A" w:rsidR="006B5DBE" w:rsidRPr="00122377" w:rsidRDefault="00B33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77">
              <w:rPr>
                <w:rFonts w:ascii="Times New Roman" w:hAnsi="Times New Roman" w:cs="Times New Roman"/>
                <w:sz w:val="24"/>
                <w:szCs w:val="24"/>
              </w:rPr>
              <w:t>-31,5</w:t>
            </w:r>
          </w:p>
        </w:tc>
      </w:tr>
      <w:tr w:rsidR="006B5DBE" w:rsidRPr="0042427B" w14:paraId="6970ABE2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2164BC6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6B5DBE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BEAFFF7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164BB848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48BD86B" w:rsidR="006B5DB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4A8D3051" w:rsidR="006B5DBE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6934CCD5" w:rsidR="006B5DBE" w:rsidRPr="00122377" w:rsidRDefault="006B5DBE" w:rsidP="00B33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B2F" w:rsidRPr="001223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237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E83947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E83947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E83947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E83947" w:rsidRPr="00122377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4852D38" w:rsidR="00E83947" w:rsidRPr="00122377" w:rsidRDefault="00A034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C472A24" w:rsidR="00E83947" w:rsidRPr="00122377" w:rsidRDefault="00A034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22109C4C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7A5E639B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183E9173" w:rsidR="00E83947" w:rsidRPr="00122377" w:rsidRDefault="00E95205" w:rsidP="00E95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6908AE9E" w:rsidR="00E83947" w:rsidRPr="00122377" w:rsidRDefault="0032754E" w:rsidP="00B33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33B2F"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7686433D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7248DE5B" w:rsidR="00E83947" w:rsidRPr="00122377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4731121C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10FC13BF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4AFD0BFE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14AE87FC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79A0897" w:rsidR="00E83947" w:rsidRPr="00122377" w:rsidRDefault="006B5DBE" w:rsidP="00B33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3B2F"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C3E4241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7EDB404A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40909AA8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B809CB1" w:rsidR="00E83947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68C1F087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06A37F1B" w:rsidR="00E83947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0B484FF7" w:rsidR="00E83947" w:rsidRPr="00122377" w:rsidRDefault="00B33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122377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54E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32754E" w:rsidRPr="003A1025" w:rsidRDefault="0032754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09C2FC5C" w:rsidR="0032754E" w:rsidRPr="00122377" w:rsidRDefault="0032754E" w:rsidP="00A03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03442"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32754E" w:rsidRPr="00122377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6653173" w:rsidR="0032754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5F3F5AB4" w:rsidR="0032754E" w:rsidRPr="00122377" w:rsidRDefault="00285F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03581F2D" w:rsidR="0032754E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4B78B35" w:rsidR="0032754E" w:rsidRPr="00122377" w:rsidRDefault="00E952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3E1E677" w:rsidR="0032754E" w:rsidRPr="00122377" w:rsidRDefault="00B33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  <w:r w:rsidR="0032754E" w:rsidRPr="001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3BDDE99C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A03442">
        <w:rPr>
          <w:rFonts w:ascii="Times New Roman" w:hAnsi="Times New Roman" w:cs="Times New Roman"/>
          <w:sz w:val="24"/>
          <w:szCs w:val="24"/>
        </w:rPr>
        <w:t>авленной таблицы, за январь-июль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районе 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44 ед. (32,1%)  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122377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– на </w:t>
      </w:r>
      <w:r w:rsidR="00122377">
        <w:rPr>
          <w:rFonts w:ascii="Times New Roman" w:hAnsi="Times New Roman" w:cs="Times New Roman"/>
          <w:sz w:val="24"/>
          <w:szCs w:val="24"/>
        </w:rPr>
        <w:t>4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122377">
        <w:rPr>
          <w:rFonts w:ascii="Times New Roman" w:hAnsi="Times New Roman" w:cs="Times New Roman"/>
          <w:sz w:val="24"/>
          <w:szCs w:val="24"/>
        </w:rPr>
        <w:t>+0,9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274ECEB1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A0344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A03442">
        <w:rPr>
          <w:rFonts w:ascii="Times New Roman" w:hAnsi="Times New Roman" w:cs="Times New Roman"/>
          <w:sz w:val="24"/>
          <w:szCs w:val="24"/>
        </w:rPr>
        <w:t>август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122377">
        <w:rPr>
          <w:rFonts w:ascii="Times New Roman" w:hAnsi="Times New Roman" w:cs="Times New Roman"/>
          <w:sz w:val="24"/>
          <w:szCs w:val="24"/>
        </w:rPr>
        <w:t>38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122377">
        <w:rPr>
          <w:rFonts w:ascii="Times New Roman" w:hAnsi="Times New Roman" w:cs="Times New Roman"/>
          <w:sz w:val="24"/>
          <w:szCs w:val="24"/>
        </w:rPr>
        <w:t>29</w:t>
      </w:r>
      <w:r w:rsidR="00403315">
        <w:rPr>
          <w:rFonts w:ascii="Times New Roman" w:hAnsi="Times New Roman" w:cs="Times New Roman"/>
          <w:sz w:val="24"/>
          <w:szCs w:val="24"/>
        </w:rPr>
        <w:t>,9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403315" w:rsidRPr="00403315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122377">
        <w:rPr>
          <w:rFonts w:ascii="Times New Roman" w:hAnsi="Times New Roman" w:cs="Times New Roman"/>
          <w:sz w:val="24"/>
          <w:szCs w:val="24"/>
        </w:rPr>
        <w:t>13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122377">
        <w:rPr>
          <w:rFonts w:ascii="Times New Roman" w:hAnsi="Times New Roman" w:cs="Times New Roman"/>
          <w:sz w:val="24"/>
          <w:szCs w:val="24"/>
        </w:rPr>
        <w:t>2,8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043A23EB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A034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A0344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5F2F47" w14:textId="77777777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6C488C65">
            <wp:extent cx="8595360" cy="4230094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24696F" w14:textId="77777777" w:rsidR="00532DB5" w:rsidRDefault="00532D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48142307" w:rsidR="000D108F" w:rsidRPr="00787B6D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787B6D">
        <w:rPr>
          <w:rFonts w:ascii="Times New Roman" w:hAnsi="Times New Roman" w:cs="Times New Roman"/>
        </w:rPr>
        <w:t>еств</w:t>
      </w:r>
      <w:r w:rsidR="00166EB9" w:rsidRPr="00787B6D">
        <w:rPr>
          <w:rFonts w:ascii="Times New Roman" w:hAnsi="Times New Roman" w:cs="Times New Roman"/>
        </w:rPr>
        <w:t>а</w:t>
      </w:r>
      <w:r w:rsidR="00FD7738" w:rsidRPr="00787B6D">
        <w:rPr>
          <w:rFonts w:ascii="Times New Roman" w:hAnsi="Times New Roman" w:cs="Times New Roman"/>
        </w:rPr>
        <w:t xml:space="preserve"> ИП за календарный год (с </w:t>
      </w:r>
      <w:r w:rsidR="006003D8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2022 г. по </w:t>
      </w:r>
      <w:r w:rsidR="006003D8">
        <w:rPr>
          <w:rFonts w:ascii="Times New Roman" w:hAnsi="Times New Roman" w:cs="Times New Roman"/>
        </w:rPr>
        <w:t>август</w:t>
      </w:r>
      <w:r w:rsidRPr="00787B6D">
        <w:rPr>
          <w:rFonts w:ascii="Times New Roman" w:hAnsi="Times New Roman" w:cs="Times New Roman"/>
        </w:rPr>
        <w:t xml:space="preserve"> 2023 г.) была</w:t>
      </w:r>
      <w:r w:rsidR="002D5AA4" w:rsidRPr="00787B6D">
        <w:rPr>
          <w:rFonts w:ascii="Times New Roman" w:hAnsi="Times New Roman" w:cs="Times New Roman"/>
        </w:rPr>
        <w:t xml:space="preserve"> </w:t>
      </w:r>
      <w:r w:rsidR="00714A2F" w:rsidRPr="00787B6D">
        <w:rPr>
          <w:rFonts w:ascii="Times New Roman" w:hAnsi="Times New Roman" w:cs="Times New Roman"/>
        </w:rPr>
        <w:t xml:space="preserve">положительной с </w:t>
      </w:r>
      <w:r w:rsidR="006003D8">
        <w:rPr>
          <w:rFonts w:ascii="Times New Roman" w:hAnsi="Times New Roman" w:cs="Times New Roman"/>
        </w:rPr>
        <w:t>августа</w:t>
      </w:r>
      <w:r w:rsidR="00714A2F" w:rsidRPr="00787B6D">
        <w:rPr>
          <w:rFonts w:ascii="Times New Roman" w:hAnsi="Times New Roman" w:cs="Times New Roman"/>
        </w:rPr>
        <w:t xml:space="preserve"> по </w:t>
      </w:r>
      <w:r w:rsidR="00787B6D" w:rsidRPr="00787B6D">
        <w:rPr>
          <w:rFonts w:ascii="Times New Roman" w:hAnsi="Times New Roman" w:cs="Times New Roman"/>
        </w:rPr>
        <w:t>ноябрь</w:t>
      </w:r>
      <w:r w:rsidR="00714A2F" w:rsidRPr="00787B6D">
        <w:rPr>
          <w:rFonts w:ascii="Times New Roman" w:hAnsi="Times New Roman" w:cs="Times New Roman"/>
        </w:rPr>
        <w:t xml:space="preserve"> 2</w:t>
      </w:r>
      <w:r w:rsidR="00AE14CB" w:rsidRPr="00787B6D">
        <w:rPr>
          <w:rFonts w:ascii="Times New Roman" w:hAnsi="Times New Roman" w:cs="Times New Roman"/>
        </w:rPr>
        <w:t>02</w:t>
      </w:r>
      <w:r w:rsidR="00F049F5" w:rsidRPr="00787B6D">
        <w:rPr>
          <w:rFonts w:ascii="Times New Roman" w:hAnsi="Times New Roman" w:cs="Times New Roman"/>
        </w:rPr>
        <w:t>2 г., а также с января по июнь</w:t>
      </w:r>
      <w:r w:rsidR="00714A2F" w:rsidRPr="00787B6D">
        <w:rPr>
          <w:rFonts w:ascii="Times New Roman" w:hAnsi="Times New Roman" w:cs="Times New Roman"/>
        </w:rPr>
        <w:t xml:space="preserve"> 2023 г</w:t>
      </w:r>
      <w:r w:rsidR="00F049F5" w:rsidRPr="00787B6D">
        <w:rPr>
          <w:rFonts w:ascii="Times New Roman" w:hAnsi="Times New Roman" w:cs="Times New Roman"/>
        </w:rPr>
        <w:t xml:space="preserve">.; в декабре </w:t>
      </w:r>
      <w:r w:rsidR="00787B6D" w:rsidRPr="00787B6D">
        <w:rPr>
          <w:rFonts w:ascii="Times New Roman" w:hAnsi="Times New Roman" w:cs="Times New Roman"/>
        </w:rPr>
        <w:t xml:space="preserve"> 2022 года </w:t>
      </w:r>
      <w:r w:rsidR="00FD7738" w:rsidRPr="00787B6D">
        <w:rPr>
          <w:rFonts w:ascii="Times New Roman" w:hAnsi="Times New Roman" w:cs="Times New Roman"/>
        </w:rPr>
        <w:t xml:space="preserve">и </w:t>
      </w:r>
      <w:r w:rsidR="00787B6D" w:rsidRPr="00787B6D">
        <w:rPr>
          <w:rFonts w:ascii="Times New Roman" w:hAnsi="Times New Roman" w:cs="Times New Roman"/>
        </w:rPr>
        <w:t xml:space="preserve"> в </w:t>
      </w:r>
      <w:r w:rsidR="006003D8">
        <w:rPr>
          <w:rFonts w:ascii="Times New Roman" w:hAnsi="Times New Roman" w:cs="Times New Roman"/>
        </w:rPr>
        <w:t>июл</w:t>
      </w:r>
      <w:r w:rsidR="00FD7738" w:rsidRPr="00787B6D">
        <w:rPr>
          <w:rFonts w:ascii="Times New Roman" w:hAnsi="Times New Roman" w:cs="Times New Roman"/>
        </w:rPr>
        <w:t xml:space="preserve">е </w:t>
      </w:r>
      <w:r w:rsidR="00787B6D" w:rsidRPr="00787B6D">
        <w:rPr>
          <w:rFonts w:ascii="Times New Roman" w:hAnsi="Times New Roman" w:cs="Times New Roman"/>
        </w:rPr>
        <w:t>2023</w:t>
      </w:r>
      <w:r w:rsidR="00F049F5" w:rsidRPr="00787B6D">
        <w:rPr>
          <w:rFonts w:ascii="Times New Roman" w:hAnsi="Times New Roman" w:cs="Times New Roman"/>
        </w:rPr>
        <w:t xml:space="preserve"> г. отмечено снижение</w:t>
      </w:r>
      <w:r w:rsidR="002D5AA4" w:rsidRPr="00787B6D">
        <w:rPr>
          <w:rFonts w:ascii="Times New Roman" w:hAnsi="Times New Roman" w:cs="Times New Roman"/>
        </w:rPr>
        <w:t>.</w:t>
      </w:r>
      <w:proofErr w:type="gramEnd"/>
      <w:r w:rsidR="002D5AA4" w:rsidRPr="00787B6D">
        <w:rPr>
          <w:rFonts w:ascii="Times New Roman" w:hAnsi="Times New Roman" w:cs="Times New Roman"/>
        </w:rPr>
        <w:t xml:space="preserve"> Динами</w:t>
      </w:r>
      <w:r w:rsidR="00423E82" w:rsidRPr="00787B6D">
        <w:rPr>
          <w:rFonts w:ascii="Times New Roman" w:hAnsi="Times New Roman" w:cs="Times New Roman"/>
        </w:rPr>
        <w:t>ка прироста числа юридических лиц в течение года имела ровную положительн</w:t>
      </w:r>
      <w:r w:rsidR="00FD7738" w:rsidRPr="00787B6D">
        <w:rPr>
          <w:rFonts w:ascii="Times New Roman" w:hAnsi="Times New Roman" w:cs="Times New Roman"/>
        </w:rPr>
        <w:t>ую динамику за исключением июн</w:t>
      </w:r>
      <w:r w:rsidR="00E4016B" w:rsidRPr="00787B6D">
        <w:rPr>
          <w:rFonts w:ascii="Times New Roman" w:hAnsi="Times New Roman" w:cs="Times New Roman"/>
        </w:rPr>
        <w:t>я</w:t>
      </w:r>
      <w:r w:rsidR="00FD7738" w:rsidRPr="00787B6D">
        <w:rPr>
          <w:rFonts w:ascii="Times New Roman" w:hAnsi="Times New Roman" w:cs="Times New Roman"/>
        </w:rPr>
        <w:t xml:space="preserve"> 2023</w:t>
      </w:r>
      <w:r w:rsidR="00F049F5" w:rsidRPr="00787B6D">
        <w:rPr>
          <w:rFonts w:ascii="Times New Roman" w:hAnsi="Times New Roman" w:cs="Times New Roman"/>
        </w:rPr>
        <w:t xml:space="preserve"> г. - в</w:t>
      </w:r>
      <w:r w:rsidR="00423E82" w:rsidRPr="00787B6D">
        <w:rPr>
          <w:rFonts w:ascii="Times New Roman" w:hAnsi="Times New Roman" w:cs="Times New Roman"/>
        </w:rPr>
        <w:t xml:space="preserve"> силу специфики работы Единого реестра МСП в </w:t>
      </w:r>
      <w:r w:rsidR="00F049F5" w:rsidRPr="00787B6D">
        <w:rPr>
          <w:rFonts w:ascii="Times New Roman" w:hAnsi="Times New Roman" w:cs="Times New Roman"/>
        </w:rPr>
        <w:t>этом месяце</w:t>
      </w:r>
      <w:r w:rsidR="00423E82" w:rsidRPr="00787B6D">
        <w:rPr>
          <w:rFonts w:ascii="Times New Roman" w:hAnsi="Times New Roman" w:cs="Times New Roman"/>
        </w:rPr>
        <w:t xml:space="preserve"> отмечено существенное снижение числа как ИП, так и ЮЛ. </w:t>
      </w:r>
    </w:p>
    <w:p w14:paraId="35F68C97" w14:textId="7A6D8810" w:rsidR="0042427B" w:rsidRPr="00787B6D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87B6D">
        <w:rPr>
          <w:rFonts w:ascii="Times New Roman" w:hAnsi="Times New Roman" w:cs="Times New Roman"/>
        </w:rPr>
        <w:t>О</w:t>
      </w:r>
      <w:r w:rsidR="00390E79" w:rsidRPr="00787B6D">
        <w:rPr>
          <w:rFonts w:ascii="Times New Roman" w:hAnsi="Times New Roman" w:cs="Times New Roman"/>
        </w:rPr>
        <w:t>тносительно невысокий темп прироста</w:t>
      </w:r>
      <w:r w:rsidRPr="00787B6D">
        <w:rPr>
          <w:rFonts w:ascii="Times New Roman" w:hAnsi="Times New Roman" w:cs="Times New Roman"/>
        </w:rPr>
        <w:t xml:space="preserve"> количества ИП</w:t>
      </w:r>
      <w:r w:rsidR="00390E79" w:rsidRPr="00787B6D">
        <w:rPr>
          <w:rFonts w:ascii="Times New Roman" w:hAnsi="Times New Roman" w:cs="Times New Roman"/>
        </w:rPr>
        <w:t xml:space="preserve"> мо</w:t>
      </w:r>
      <w:r w:rsidRPr="00787B6D">
        <w:rPr>
          <w:rFonts w:ascii="Times New Roman" w:hAnsi="Times New Roman" w:cs="Times New Roman"/>
        </w:rPr>
        <w:t>жет</w:t>
      </w:r>
      <w:r w:rsidR="00390E79" w:rsidRPr="00787B6D">
        <w:rPr>
          <w:rFonts w:ascii="Times New Roman" w:hAnsi="Times New Roman" w:cs="Times New Roman"/>
        </w:rPr>
        <w:t xml:space="preserve"> быть связан с </w:t>
      </w:r>
      <w:r w:rsidR="00195F04" w:rsidRPr="00787B6D">
        <w:rPr>
          <w:rFonts w:ascii="Times New Roman" w:hAnsi="Times New Roman" w:cs="Times New Roman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787B6D">
        <w:rPr>
          <w:rFonts w:ascii="Times New Roman" w:hAnsi="Times New Roman" w:cs="Times New Roman"/>
        </w:rPr>
        <w:t>самозанятость</w:t>
      </w:r>
      <w:proofErr w:type="spellEnd"/>
      <w:r w:rsidR="00195F04"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</w:t>
      </w:r>
      <w:r w:rsidR="00CD238C" w:rsidRPr="00787B6D">
        <w:rPr>
          <w:rFonts w:ascii="Times New Roman" w:hAnsi="Times New Roman" w:cs="Times New Roman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787B6D">
        <w:rPr>
          <w:rFonts w:ascii="Times New Roman" w:hAnsi="Times New Roman" w:cs="Times New Roman"/>
        </w:rPr>
        <w:t>классического</w:t>
      </w:r>
      <w:proofErr w:type="gramEnd"/>
      <w:r w:rsidR="00CD238C" w:rsidRPr="00787B6D">
        <w:rPr>
          <w:rFonts w:ascii="Times New Roman" w:hAnsi="Times New Roman" w:cs="Times New Roman"/>
        </w:rPr>
        <w:t xml:space="preserve"> ИП.</w:t>
      </w:r>
      <w:r w:rsidR="003A1025" w:rsidRPr="00787B6D">
        <w:rPr>
          <w:rFonts w:ascii="Times New Roman" w:hAnsi="Times New Roman" w:cs="Times New Roman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363200DA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DA0D88" w14:textId="55042CDF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6003D8">
        <w:rPr>
          <w:rFonts w:ascii="Times New Roman" w:hAnsi="Times New Roman" w:cs="Times New Roman"/>
          <w:sz w:val="24"/>
          <w:szCs w:val="24"/>
        </w:rPr>
        <w:t>рошедший календарный год (с июля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2A6A43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0F10D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F212557" w:rsidR="00306231" w:rsidRPr="000F10D4" w:rsidRDefault="006003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</w:t>
            </w:r>
            <w:r w:rsidR="00306231"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003D8" w:rsidRPr="002A6A43" w14:paraId="0542315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58434B44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20B22A87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48184B2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708A651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51E1687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-8.57%</w:t>
            </w:r>
          </w:p>
        </w:tc>
      </w:tr>
      <w:tr w:rsidR="006003D8" w:rsidRPr="002A6A43" w14:paraId="063C033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4EEC19C4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E1631F1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4F724EF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6F4B2A9F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1AF0302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-50.00%</w:t>
            </w:r>
          </w:p>
        </w:tc>
      </w:tr>
      <w:tr w:rsidR="006003D8" w:rsidRPr="002A6A43" w14:paraId="00CF633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295C9CEE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486CD87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213372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56368078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03EB5E21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-6.25%</w:t>
            </w:r>
          </w:p>
        </w:tc>
      </w:tr>
      <w:tr w:rsidR="006003D8" w:rsidRPr="002A6A43" w14:paraId="7904174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6A4461E3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2287B24D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7786C5F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8668F5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6195F65D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611485E6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3D0C723B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4ACFE9EC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1192DF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E064BC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296F234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-33.33%</w:t>
            </w:r>
          </w:p>
        </w:tc>
      </w:tr>
      <w:tr w:rsidR="006003D8" w:rsidRPr="002A6A43" w14:paraId="2174F60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53DB4462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254DD42F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53D6A2F6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6C368AAF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03735B2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-22.06%</w:t>
            </w:r>
          </w:p>
        </w:tc>
      </w:tr>
      <w:tr w:rsidR="006003D8" w:rsidRPr="002A6A43" w14:paraId="3F0D441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D94B7F2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35D1D38F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7B7DB412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207217D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540A66C1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-3.78%</w:t>
            </w:r>
          </w:p>
        </w:tc>
      </w:tr>
      <w:tr w:rsidR="006003D8" w:rsidRPr="002A6A43" w14:paraId="206277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38CE4094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DADEF89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2E14E26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723ED05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6ECBF05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1.01%</w:t>
            </w:r>
          </w:p>
        </w:tc>
      </w:tr>
      <w:tr w:rsidR="006003D8" w:rsidRPr="002A6A43" w14:paraId="2E1F99E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48967CCD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4CB4BC3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20D0768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785EE33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6B3EAEB5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9.09%</w:t>
            </w:r>
          </w:p>
        </w:tc>
      </w:tr>
      <w:tr w:rsidR="006003D8" w:rsidRPr="002A6A43" w14:paraId="28DC09FB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0C46A082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26264E62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EC142C6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372B8AD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1C7AE71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49FC05E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62E450B6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699D793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3200875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59560075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535C6424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1500A2C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519D7C95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6EFF14C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1A7A988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6C3AA957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217F6C3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-30.77%</w:t>
            </w:r>
          </w:p>
        </w:tc>
      </w:tr>
      <w:tr w:rsidR="006003D8" w:rsidRPr="002A6A43" w14:paraId="51882B3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0B5E41D7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6E08FB13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30663166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B81E63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216A268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-11.11%</w:t>
            </w:r>
          </w:p>
        </w:tc>
      </w:tr>
      <w:tr w:rsidR="006003D8" w:rsidRPr="002A6A43" w14:paraId="139CD48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84BC2AE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6994FB84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00559CC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F6C68E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2D01C50F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-38.46%</w:t>
            </w:r>
          </w:p>
        </w:tc>
      </w:tr>
      <w:tr w:rsidR="006003D8" w:rsidRPr="002A6A43" w14:paraId="189C1AC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0DA63FF4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381DB49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37F18F77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491998D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7609CE1D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2CD2A643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3F984CE6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77C63B4F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71353674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2176ED03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6A6F6314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28.57%</w:t>
            </w:r>
          </w:p>
        </w:tc>
      </w:tr>
      <w:tr w:rsidR="006003D8" w:rsidRPr="002A6A43" w14:paraId="504D7A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16357405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ADE43F5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4E38F20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79AA92E5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1FD2418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00D643F3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60472E50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BE1C408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60294FFB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2BEE2BE6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6B16D69E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-20.00%</w:t>
            </w:r>
          </w:p>
        </w:tc>
      </w:tr>
      <w:tr w:rsidR="006003D8" w:rsidRPr="002A6A43" w14:paraId="16E3458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1D81212C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2A18F5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663450D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000E92CA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A220FD2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-4.17%</w:t>
            </w:r>
          </w:p>
        </w:tc>
      </w:tr>
      <w:tr w:rsidR="006003D8" w:rsidRPr="002A6A43" w14:paraId="4995A7A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7158369E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D0C55BB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17C5CD3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1A5ED455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43048570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051B0D3F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4E87C43F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D41C1F9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1F7FFB3F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BD66666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3B23079C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003D8" w:rsidRPr="002A6A43" w14:paraId="43B612B0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003D8" w:rsidRPr="002A6A43" w:rsidRDefault="006003D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EBB3B87" w:rsidR="006003D8" w:rsidRPr="002A6A43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49E7BA1F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59DC17EB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6B8E7859" w:rsidR="006003D8" w:rsidRPr="006003D8" w:rsidRDefault="006003D8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-6.80%</w:t>
            </w:r>
          </w:p>
        </w:tc>
      </w:tr>
    </w:tbl>
    <w:p w14:paraId="0109C77A" w14:textId="77777777" w:rsidR="00DC5E4A" w:rsidRPr="00357729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60F763BB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8E1FA9">
        <w:rPr>
          <w:rFonts w:ascii="Times New Roman" w:hAnsi="Times New Roman" w:cs="Times New Roman"/>
          <w:sz w:val="24"/>
          <w:szCs w:val="24"/>
        </w:rPr>
        <w:t>четырьмя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6077F1">
        <w:rPr>
          <w:rFonts w:ascii="Times New Roman" w:hAnsi="Times New Roman" w:cs="Times New Roman"/>
          <w:sz w:val="24"/>
          <w:szCs w:val="24"/>
        </w:rPr>
        <w:t xml:space="preserve"> (+2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077F1">
        <w:rPr>
          <w:rFonts w:ascii="Times New Roman" w:hAnsi="Times New Roman" w:cs="Times New Roman"/>
          <w:sz w:val="24"/>
          <w:szCs w:val="24"/>
        </w:rPr>
        <w:t>28,57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C5E4A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финансовая и страховая </w:t>
      </w:r>
      <w:r w:rsidR="00357729" w:rsidRPr="00357729">
        <w:rPr>
          <w:rFonts w:ascii="Times New Roman" w:hAnsi="Times New Roman" w:cs="Times New Roman"/>
          <w:sz w:val="24"/>
          <w:szCs w:val="24"/>
        </w:rPr>
        <w:t>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0</w:t>
      </w:r>
      <w:r w:rsidR="006077F1">
        <w:rPr>
          <w:rFonts w:ascii="Times New Roman" w:hAnsi="Times New Roman" w:cs="Times New Roman"/>
          <w:sz w:val="24"/>
          <w:szCs w:val="24"/>
        </w:rPr>
        <w:t xml:space="preserve">%); </w:t>
      </w:r>
      <w:r w:rsidR="006077F1" w:rsidRPr="006077F1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6077F1">
        <w:rPr>
          <w:rFonts w:ascii="Times New Roman" w:hAnsi="Times New Roman" w:cs="Times New Roman"/>
          <w:sz w:val="24"/>
          <w:szCs w:val="24"/>
        </w:rPr>
        <w:t xml:space="preserve"> (+1 ед. или 1,01%); д</w:t>
      </w:r>
      <w:r w:rsidR="006077F1" w:rsidRPr="006077F1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6077F1">
        <w:rPr>
          <w:rFonts w:ascii="Times New Roman" w:hAnsi="Times New Roman" w:cs="Times New Roman"/>
          <w:sz w:val="24"/>
          <w:szCs w:val="24"/>
        </w:rPr>
        <w:t xml:space="preserve"> (+1ед. или 9,09%</w:t>
      </w:r>
      <w:proofErr w:type="gramStart"/>
      <w:r w:rsidR="00686D4C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6077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077F1">
        <w:rPr>
          <w:rFonts w:ascii="Times New Roman" w:hAnsi="Times New Roman" w:cs="Times New Roman"/>
          <w:sz w:val="24"/>
          <w:szCs w:val="24"/>
        </w:rPr>
        <w:t xml:space="preserve">. </w:t>
      </w:r>
      <w:r w:rsidR="008E1FA9">
        <w:rPr>
          <w:rFonts w:ascii="Times New Roman" w:hAnsi="Times New Roman" w:cs="Times New Roman"/>
          <w:sz w:val="24"/>
          <w:szCs w:val="24"/>
        </w:rPr>
        <w:t>Еще по 6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8E1FA9">
        <w:rPr>
          <w:rFonts w:ascii="Times New Roman" w:hAnsi="Times New Roman" w:cs="Times New Roman"/>
          <w:sz w:val="24"/>
          <w:szCs w:val="24"/>
        </w:rPr>
        <w:t>ается отсутствие динамики, по 11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BAC157" w14:textId="7D5C11BA" w:rsidR="005E61E0" w:rsidRPr="005E61E0" w:rsidRDefault="006077F1" w:rsidP="005E6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августа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 w:rsidR="00357729"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="00357729"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357729"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E61E0" w:rsidRPr="005E61E0">
        <w:rPr>
          <w:rFonts w:ascii="Times New Roman" w:hAnsi="Times New Roman" w:cs="Times New Roman"/>
          <w:sz w:val="24"/>
          <w:szCs w:val="24"/>
        </w:rPr>
        <w:t>За прошедший календарный год (с июля 2022 г. по июль 2023 г.) наблюдается снижение числа ЮЛ (на 36 ед. или 27,9%) и снижение числа ИП (на 7 ед. или  1,6%).</w:t>
      </w:r>
    </w:p>
    <w:p w14:paraId="6B4CCFD5" w14:textId="55F6DEA6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6901B861" w14:textId="77777777" w:rsidR="006077F1" w:rsidRPr="006077F1" w:rsidRDefault="001452FD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  <w:r w:rsidR="006077F1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020B4EDD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06DD1DCD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6BCCE6B6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2EBBCF84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7614CBCC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16DB50F1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76BCDC61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65F633C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546EC126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37F4AC2B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407DAD89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30773849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68B7285A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5593EABF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26A18A5D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1E45D79F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786DAD53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229F3CB2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1E82F96" w14:textId="77777777" w:rsidR="006077F1" w:rsidRPr="006077F1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30E4349E" w14:textId="0138D01D" w:rsidR="001452FD" w:rsidRPr="005E61E0" w:rsidRDefault="006077F1" w:rsidP="00607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1">
        <w:rPr>
          <w:rFonts w:ascii="Times New Roman" w:hAnsi="Times New Roman" w:cs="Times New Roman"/>
          <w:sz w:val="24"/>
          <w:szCs w:val="24"/>
        </w:rPr>
        <w:lastRenderedPageBreak/>
        <w:t>Деятельность экстерриториальных организаций и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452FD" w:rsidRPr="005E61E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43DE" w14:textId="77777777" w:rsidR="004161B8" w:rsidRDefault="004161B8" w:rsidP="00434DB7">
      <w:pPr>
        <w:spacing w:after="0" w:line="240" w:lineRule="auto"/>
      </w:pPr>
      <w:r>
        <w:separator/>
      </w:r>
    </w:p>
  </w:endnote>
  <w:endnote w:type="continuationSeparator" w:id="0">
    <w:p w14:paraId="7939D82B" w14:textId="77777777" w:rsidR="004161B8" w:rsidRDefault="004161B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B9B3" w14:textId="77777777" w:rsidR="004161B8" w:rsidRDefault="004161B8" w:rsidP="00434DB7">
      <w:pPr>
        <w:spacing w:after="0" w:line="240" w:lineRule="auto"/>
      </w:pPr>
      <w:r>
        <w:separator/>
      </w:r>
    </w:p>
  </w:footnote>
  <w:footnote w:type="continuationSeparator" w:id="0">
    <w:p w14:paraId="5013329E" w14:textId="77777777" w:rsidR="004161B8" w:rsidRDefault="004161B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4B4C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2377"/>
    <w:rsid w:val="00123ECF"/>
    <w:rsid w:val="00135526"/>
    <w:rsid w:val="001452FD"/>
    <w:rsid w:val="00161617"/>
    <w:rsid w:val="00165AF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85F77"/>
    <w:rsid w:val="00290278"/>
    <w:rsid w:val="0029104D"/>
    <w:rsid w:val="002A6A43"/>
    <w:rsid w:val="002B09A2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64CC7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13FB"/>
    <w:rsid w:val="003E36A7"/>
    <w:rsid w:val="00403315"/>
    <w:rsid w:val="00404F22"/>
    <w:rsid w:val="00406B45"/>
    <w:rsid w:val="00407E74"/>
    <w:rsid w:val="00411A28"/>
    <w:rsid w:val="004161B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D775D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2DB5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6003D8"/>
    <w:rsid w:val="006077F1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7B6D"/>
    <w:rsid w:val="00794F4F"/>
    <w:rsid w:val="007A4A63"/>
    <w:rsid w:val="007B5ED8"/>
    <w:rsid w:val="007C0334"/>
    <w:rsid w:val="007C1839"/>
    <w:rsid w:val="007D0C56"/>
    <w:rsid w:val="007D4D90"/>
    <w:rsid w:val="007D7167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1FA9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42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33B2F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E3C2F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95205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93401090821093E-2"/>
          <c:y val="3.6036536567893733E-2"/>
          <c:w val="0.92811889205338693"/>
          <c:h val="0.7512253864807731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131</c:v>
                </c:pt>
                <c:pt idx="1">
                  <c:v>131</c:v>
                </c:pt>
                <c:pt idx="2">
                  <c:v>131</c:v>
                </c:pt>
                <c:pt idx="3">
                  <c:v>138</c:v>
                </c:pt>
                <c:pt idx="4">
                  <c:v>138</c:v>
                </c:pt>
                <c:pt idx="5">
                  <c:v>137</c:v>
                </c:pt>
                <c:pt idx="6">
                  <c:v>140</c:v>
                </c:pt>
                <c:pt idx="7">
                  <c:v>141</c:v>
                </c:pt>
                <c:pt idx="8">
                  <c:v>141</c:v>
                </c:pt>
                <c:pt idx="9">
                  <c:v>143</c:v>
                </c:pt>
                <c:pt idx="10">
                  <c:v>144</c:v>
                </c:pt>
                <c:pt idx="11">
                  <c:v>93</c:v>
                </c:pt>
                <c:pt idx="12" formatCode="#,##0">
                  <c:v>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450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468</c:v>
                </c:pt>
                <c:pt idx="1">
                  <c:v>467</c:v>
                </c:pt>
                <c:pt idx="2">
                  <c:v>470</c:v>
                </c:pt>
                <c:pt idx="3">
                  <c:v>470</c:v>
                </c:pt>
                <c:pt idx="4">
                  <c:v>466</c:v>
                </c:pt>
                <c:pt idx="5">
                  <c:v>451</c:v>
                </c:pt>
                <c:pt idx="6">
                  <c:v>450</c:v>
                </c:pt>
                <c:pt idx="7">
                  <c:v>455</c:v>
                </c:pt>
                <c:pt idx="8">
                  <c:v>462</c:v>
                </c:pt>
                <c:pt idx="9">
                  <c:v>471</c:v>
                </c:pt>
                <c:pt idx="10">
                  <c:v>477</c:v>
                </c:pt>
                <c:pt idx="11">
                  <c:v>439</c:v>
                </c:pt>
                <c:pt idx="12" formatCode="#,##0">
                  <c:v>455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491008"/>
        <c:axId val="108896640"/>
      </c:lineChart>
      <c:dateAx>
        <c:axId val="98491008"/>
        <c:scaling>
          <c:orientation val="minMax"/>
          <c:max val="45139"/>
          <c:min val="44774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96640"/>
        <c:crosses val="autoZero"/>
        <c:auto val="0"/>
        <c:lblOffset val="100"/>
        <c:baseTimeUnit val="months"/>
        <c:majorUnit val="1"/>
        <c:majorTimeUnit val="months"/>
      </c:dateAx>
      <c:valAx>
        <c:axId val="108896640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91008"/>
        <c:crossesAt val="44774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229</c:v>
                </c:pt>
                <c:pt idx="1">
                  <c:v>100</c:v>
                </c:pt>
                <c:pt idx="2">
                  <c:v>53</c:v>
                </c:pt>
                <c:pt idx="3">
                  <c:v>32</c:v>
                </c:pt>
                <c:pt idx="4">
                  <c:v>30</c:v>
                </c:pt>
                <c:pt idx="5">
                  <c:v>23</c:v>
                </c:pt>
                <c:pt idx="6">
                  <c:v>16</c:v>
                </c:pt>
                <c:pt idx="7">
                  <c:v>12</c:v>
                </c:pt>
                <c:pt idx="8">
                  <c:v>9</c:v>
                </c:pt>
                <c:pt idx="9">
                  <c:v>9</c:v>
                </c:pt>
                <c:pt idx="1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1A1-FD30-4A41-B8D3-07F590C5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3</cp:revision>
  <cp:lastPrinted>2022-10-14T05:56:00Z</cp:lastPrinted>
  <dcterms:created xsi:type="dcterms:W3CDTF">2023-11-02T09:37:00Z</dcterms:created>
  <dcterms:modified xsi:type="dcterms:W3CDTF">2023-11-02T10:55:00Z</dcterms:modified>
</cp:coreProperties>
</file>