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tblGrid>
      <w:tr w:rsidR="003650F5" w:rsidRPr="003650F5" w:rsidTr="003650F5">
        <w:tc>
          <w:tcPr>
            <w:tcW w:w="5406" w:type="dxa"/>
          </w:tcPr>
          <w:p w:rsidR="003650F5" w:rsidRPr="003650F5" w:rsidRDefault="003650F5" w:rsidP="003650F5">
            <w:pPr>
              <w:jc w:val="both"/>
              <w:rPr>
                <w:bCs/>
              </w:rPr>
            </w:pPr>
            <w:bookmarkStart w:id="0" w:name="_GoBack"/>
            <w:bookmarkEnd w:id="0"/>
            <w:r w:rsidRPr="003650F5">
              <w:rPr>
                <w:bCs/>
              </w:rPr>
              <w:t>Приложение № 2</w:t>
            </w:r>
          </w:p>
          <w:p w:rsidR="003650F5" w:rsidRPr="003650F5" w:rsidRDefault="003650F5" w:rsidP="003650F5">
            <w:pPr>
              <w:jc w:val="both"/>
              <w:rPr>
                <w:bCs/>
              </w:rPr>
            </w:pPr>
            <w:r w:rsidRPr="003650F5">
              <w:rPr>
                <w:bCs/>
              </w:rPr>
              <w:t>к распоряжению Администрации муниципального образования «Починковский район» Смоленской области</w:t>
            </w:r>
          </w:p>
          <w:p w:rsidR="003650F5" w:rsidRPr="003650F5" w:rsidRDefault="003650F5" w:rsidP="003650F5">
            <w:pPr>
              <w:jc w:val="both"/>
              <w:rPr>
                <w:bCs/>
              </w:rPr>
            </w:pPr>
            <w:r w:rsidRPr="003650F5">
              <w:rPr>
                <w:bCs/>
              </w:rPr>
              <w:t>от «___»____________2020 № _____</w:t>
            </w:r>
          </w:p>
        </w:tc>
      </w:tr>
    </w:tbl>
    <w:p w:rsidR="003650F5" w:rsidRDefault="003650F5">
      <w:pPr>
        <w:jc w:val="center"/>
        <w:rPr>
          <w:b/>
          <w:bCs/>
          <w:sz w:val="28"/>
          <w:szCs w:val="28"/>
        </w:rPr>
      </w:pPr>
    </w:p>
    <w:p w:rsidR="003650F5" w:rsidRDefault="003650F5">
      <w:pPr>
        <w:jc w:val="center"/>
        <w:rPr>
          <w:b/>
          <w:bCs/>
          <w:sz w:val="28"/>
          <w:szCs w:val="28"/>
        </w:rPr>
      </w:pPr>
    </w:p>
    <w:p w:rsidR="00D94995" w:rsidRPr="00116B94" w:rsidRDefault="00D94995">
      <w:pPr>
        <w:jc w:val="center"/>
        <w:rPr>
          <w:b/>
          <w:bCs/>
          <w:sz w:val="28"/>
          <w:szCs w:val="28"/>
        </w:rPr>
      </w:pPr>
      <w:r w:rsidRPr="00116B94">
        <w:rPr>
          <w:b/>
          <w:bCs/>
          <w:sz w:val="28"/>
          <w:szCs w:val="28"/>
        </w:rPr>
        <w:t>Пояснительная записка</w:t>
      </w:r>
    </w:p>
    <w:p w:rsidR="00D94995" w:rsidRPr="00116B94" w:rsidRDefault="00D94995">
      <w:pPr>
        <w:jc w:val="center"/>
        <w:rPr>
          <w:b/>
          <w:bCs/>
          <w:sz w:val="28"/>
          <w:szCs w:val="28"/>
        </w:rPr>
      </w:pPr>
      <w:r w:rsidRPr="00116B94">
        <w:rPr>
          <w:b/>
          <w:bCs/>
          <w:sz w:val="28"/>
          <w:szCs w:val="28"/>
        </w:rPr>
        <w:t>к    прогнозу социально-экономического развития</w:t>
      </w:r>
    </w:p>
    <w:p w:rsidR="00D94995" w:rsidRPr="00116B94" w:rsidRDefault="00D94995">
      <w:pPr>
        <w:jc w:val="center"/>
        <w:rPr>
          <w:b/>
          <w:bCs/>
          <w:sz w:val="28"/>
          <w:szCs w:val="28"/>
        </w:rPr>
      </w:pPr>
      <w:r w:rsidRPr="00116B94">
        <w:rPr>
          <w:b/>
          <w:bCs/>
          <w:sz w:val="28"/>
          <w:szCs w:val="28"/>
        </w:rPr>
        <w:t>муниципального образования «Починковский район»</w:t>
      </w:r>
    </w:p>
    <w:p w:rsidR="00D94995" w:rsidRPr="00116B94" w:rsidRDefault="00D94995">
      <w:pPr>
        <w:jc w:val="center"/>
        <w:rPr>
          <w:b/>
          <w:bCs/>
          <w:sz w:val="28"/>
          <w:szCs w:val="28"/>
        </w:rPr>
      </w:pPr>
      <w:r w:rsidRPr="00116B94">
        <w:rPr>
          <w:b/>
          <w:bCs/>
          <w:sz w:val="28"/>
          <w:szCs w:val="28"/>
        </w:rPr>
        <w:t>Смоленской области на 20</w:t>
      </w:r>
      <w:r w:rsidR="00D479E8">
        <w:rPr>
          <w:b/>
          <w:bCs/>
          <w:sz w:val="28"/>
          <w:szCs w:val="28"/>
        </w:rPr>
        <w:t>20</w:t>
      </w:r>
      <w:r w:rsidRPr="00116B94">
        <w:rPr>
          <w:b/>
          <w:bCs/>
          <w:sz w:val="28"/>
          <w:szCs w:val="28"/>
        </w:rPr>
        <w:t xml:space="preserve"> и на период до 20</w:t>
      </w:r>
      <w:r w:rsidR="00B729ED">
        <w:rPr>
          <w:b/>
          <w:bCs/>
          <w:sz w:val="28"/>
          <w:szCs w:val="28"/>
        </w:rPr>
        <w:t>2</w:t>
      </w:r>
      <w:r w:rsidR="00D479E8">
        <w:rPr>
          <w:b/>
          <w:bCs/>
          <w:sz w:val="28"/>
          <w:szCs w:val="28"/>
        </w:rPr>
        <w:t>3</w:t>
      </w:r>
      <w:r w:rsidRPr="00116B94">
        <w:rPr>
          <w:b/>
          <w:bCs/>
          <w:sz w:val="28"/>
          <w:szCs w:val="28"/>
        </w:rPr>
        <w:t xml:space="preserve"> года</w:t>
      </w:r>
    </w:p>
    <w:p w:rsidR="00B14EB1" w:rsidRPr="007329F9" w:rsidRDefault="00B14EB1" w:rsidP="007329F9">
      <w:pPr>
        <w:ind w:firstLine="709"/>
        <w:jc w:val="both"/>
        <w:rPr>
          <w:sz w:val="28"/>
          <w:szCs w:val="28"/>
        </w:rPr>
      </w:pPr>
    </w:p>
    <w:p w:rsidR="00D479E8" w:rsidRDefault="0018436B" w:rsidP="007329F9">
      <w:pPr>
        <w:ind w:firstLine="709"/>
        <w:jc w:val="both"/>
        <w:rPr>
          <w:sz w:val="28"/>
          <w:szCs w:val="28"/>
        </w:rPr>
      </w:pPr>
      <w:r w:rsidRPr="007329F9">
        <w:rPr>
          <w:sz w:val="28"/>
          <w:szCs w:val="28"/>
        </w:rPr>
        <w:t xml:space="preserve">            Прогноз социально-экономического развития муниципального образования «Починковский район» Смоленской области на 20</w:t>
      </w:r>
      <w:r w:rsidR="00D479E8">
        <w:rPr>
          <w:sz w:val="28"/>
          <w:szCs w:val="28"/>
        </w:rPr>
        <w:t>20</w:t>
      </w:r>
      <w:r w:rsidRPr="007329F9">
        <w:rPr>
          <w:sz w:val="28"/>
          <w:szCs w:val="28"/>
        </w:rPr>
        <w:t>-202</w:t>
      </w:r>
      <w:r w:rsidR="00D479E8">
        <w:rPr>
          <w:sz w:val="28"/>
          <w:szCs w:val="28"/>
        </w:rPr>
        <w:t>3</w:t>
      </w:r>
      <w:r w:rsidRPr="007329F9">
        <w:rPr>
          <w:sz w:val="28"/>
          <w:szCs w:val="28"/>
        </w:rPr>
        <w:t xml:space="preserve"> годы разработан на основе сценарных условий функционирования экономики Российской Федерации, основных параметров прогноза социально-экономического развития Смоленской области на  период до 202</w:t>
      </w:r>
      <w:r w:rsidR="00D479E8">
        <w:rPr>
          <w:sz w:val="28"/>
          <w:szCs w:val="28"/>
        </w:rPr>
        <w:t>3</w:t>
      </w:r>
      <w:r w:rsidRPr="007329F9">
        <w:rPr>
          <w:sz w:val="28"/>
          <w:szCs w:val="28"/>
        </w:rPr>
        <w:t xml:space="preserve"> года,  прогноза индексов-дефляторов цен Минэкономразвития России, мониторинга социально-экономических показателей муниципального образования за прошедший период 20</w:t>
      </w:r>
      <w:r w:rsidR="00D479E8">
        <w:rPr>
          <w:sz w:val="28"/>
          <w:szCs w:val="28"/>
        </w:rPr>
        <w:t>20</w:t>
      </w:r>
      <w:r w:rsidRPr="007329F9">
        <w:rPr>
          <w:sz w:val="28"/>
          <w:szCs w:val="28"/>
        </w:rPr>
        <w:t xml:space="preserve"> года, а также анализа складывающейся социально-экономической ситуации в секторах экономики района.</w:t>
      </w:r>
      <w:r w:rsidR="00D479E8">
        <w:rPr>
          <w:sz w:val="28"/>
          <w:szCs w:val="28"/>
        </w:rPr>
        <w:t xml:space="preserve">         </w:t>
      </w:r>
    </w:p>
    <w:p w:rsidR="0018436B" w:rsidRPr="007329F9" w:rsidRDefault="0018436B" w:rsidP="007329F9">
      <w:pPr>
        <w:ind w:firstLine="709"/>
        <w:jc w:val="both"/>
        <w:rPr>
          <w:sz w:val="28"/>
          <w:szCs w:val="28"/>
        </w:rPr>
      </w:pPr>
      <w:r w:rsidRPr="007329F9">
        <w:rPr>
          <w:sz w:val="28"/>
          <w:szCs w:val="28"/>
        </w:rPr>
        <w:t xml:space="preserve">При разработке среднесрочного прогноза использованы  материалы, представленные территориальным органом Федеральной службы государственной  статистики по Смоленской области, </w:t>
      </w:r>
      <w:r w:rsidR="00E97C83" w:rsidRPr="007329F9">
        <w:rPr>
          <w:sz w:val="28"/>
          <w:szCs w:val="28"/>
        </w:rPr>
        <w:t xml:space="preserve">данные </w:t>
      </w:r>
      <w:r w:rsidRPr="007329F9">
        <w:rPr>
          <w:sz w:val="28"/>
          <w:szCs w:val="28"/>
        </w:rPr>
        <w:t xml:space="preserve">предприятий и организаций, </w:t>
      </w:r>
      <w:r w:rsidR="00E97C83" w:rsidRPr="007329F9">
        <w:rPr>
          <w:sz w:val="28"/>
          <w:szCs w:val="28"/>
        </w:rPr>
        <w:t xml:space="preserve">осуществляющих свою деятельность </w:t>
      </w:r>
      <w:r w:rsidRPr="007329F9">
        <w:rPr>
          <w:sz w:val="28"/>
          <w:szCs w:val="28"/>
        </w:rPr>
        <w:t xml:space="preserve"> на территории района.</w:t>
      </w:r>
    </w:p>
    <w:p w:rsidR="007C6774" w:rsidRPr="007329F9" w:rsidRDefault="0018436B" w:rsidP="007329F9">
      <w:pPr>
        <w:ind w:firstLine="709"/>
        <w:jc w:val="both"/>
        <w:rPr>
          <w:sz w:val="28"/>
          <w:szCs w:val="28"/>
        </w:rPr>
      </w:pPr>
      <w:r w:rsidRPr="007329F9">
        <w:rPr>
          <w:sz w:val="28"/>
          <w:szCs w:val="28"/>
        </w:rPr>
        <w:tab/>
      </w:r>
    </w:p>
    <w:p w:rsidR="00234530" w:rsidRPr="007329F9" w:rsidRDefault="00C444EF" w:rsidP="007329F9">
      <w:pPr>
        <w:numPr>
          <w:ilvl w:val="0"/>
          <w:numId w:val="9"/>
        </w:numPr>
        <w:ind w:left="0" w:firstLine="709"/>
        <w:jc w:val="center"/>
        <w:rPr>
          <w:b/>
          <w:sz w:val="28"/>
          <w:szCs w:val="28"/>
        </w:rPr>
      </w:pPr>
      <w:r w:rsidRPr="007329F9">
        <w:rPr>
          <w:b/>
          <w:sz w:val="28"/>
          <w:szCs w:val="28"/>
        </w:rPr>
        <w:t>Население</w:t>
      </w:r>
    </w:p>
    <w:p w:rsidR="00234530" w:rsidRPr="007329F9" w:rsidRDefault="00234530" w:rsidP="007329F9">
      <w:pPr>
        <w:ind w:firstLine="709"/>
        <w:rPr>
          <w:sz w:val="28"/>
          <w:szCs w:val="28"/>
        </w:rPr>
      </w:pPr>
    </w:p>
    <w:p w:rsidR="00BA20CF" w:rsidRPr="007329F9" w:rsidRDefault="00143F7C" w:rsidP="007329F9">
      <w:pPr>
        <w:ind w:firstLine="709"/>
        <w:jc w:val="both"/>
        <w:rPr>
          <w:sz w:val="28"/>
          <w:szCs w:val="28"/>
        </w:rPr>
      </w:pPr>
      <w:r>
        <w:rPr>
          <w:sz w:val="28"/>
          <w:szCs w:val="28"/>
        </w:rPr>
        <w:t>Среднегодовая ч</w:t>
      </w:r>
      <w:r w:rsidR="00CE63BC" w:rsidRPr="007329F9">
        <w:rPr>
          <w:sz w:val="28"/>
          <w:szCs w:val="28"/>
        </w:rPr>
        <w:t>исленность  постоянного населения райо</w:t>
      </w:r>
      <w:r w:rsidR="00D479E8">
        <w:rPr>
          <w:sz w:val="28"/>
          <w:szCs w:val="28"/>
        </w:rPr>
        <w:t>на по состоянию на 01 января 2020</w:t>
      </w:r>
      <w:r w:rsidR="00CE63BC" w:rsidRPr="007329F9">
        <w:rPr>
          <w:sz w:val="28"/>
          <w:szCs w:val="28"/>
        </w:rPr>
        <w:t xml:space="preserve"> года составила  </w:t>
      </w:r>
      <w:r w:rsidR="00D479E8">
        <w:rPr>
          <w:sz w:val="28"/>
          <w:szCs w:val="28"/>
        </w:rPr>
        <w:t>29061</w:t>
      </w:r>
      <w:r w:rsidR="00CE63BC" w:rsidRPr="007329F9">
        <w:rPr>
          <w:sz w:val="28"/>
          <w:szCs w:val="28"/>
        </w:rPr>
        <w:t xml:space="preserve"> человек.  Численность населения района </w:t>
      </w:r>
      <w:r w:rsidR="00926598" w:rsidRPr="007329F9">
        <w:rPr>
          <w:sz w:val="28"/>
          <w:szCs w:val="28"/>
        </w:rPr>
        <w:t>сократилась</w:t>
      </w:r>
      <w:r w:rsidR="00CE63BC" w:rsidRPr="007329F9">
        <w:rPr>
          <w:sz w:val="28"/>
          <w:szCs w:val="28"/>
        </w:rPr>
        <w:t xml:space="preserve"> по сравнению с прошлым годом на </w:t>
      </w:r>
      <w:r w:rsidR="00832DC5">
        <w:rPr>
          <w:sz w:val="28"/>
          <w:szCs w:val="28"/>
        </w:rPr>
        <w:t>200</w:t>
      </w:r>
      <w:r w:rsidR="00CE63BC" w:rsidRPr="007329F9">
        <w:rPr>
          <w:sz w:val="28"/>
          <w:szCs w:val="28"/>
        </w:rPr>
        <w:t xml:space="preserve"> человек. </w:t>
      </w:r>
      <w:r w:rsidR="00832DC5">
        <w:rPr>
          <w:sz w:val="28"/>
          <w:szCs w:val="28"/>
        </w:rPr>
        <w:t xml:space="preserve">Основной причиной </w:t>
      </w:r>
      <w:r w:rsidR="00832DC5">
        <w:rPr>
          <w:sz w:val="28"/>
          <w:szCs w:val="28"/>
        </w:rPr>
        <w:lastRenderedPageBreak/>
        <w:t xml:space="preserve">является   </w:t>
      </w:r>
      <w:r>
        <w:rPr>
          <w:sz w:val="28"/>
          <w:szCs w:val="28"/>
        </w:rPr>
        <w:t>естественная убыль населения  (</w:t>
      </w:r>
      <w:r w:rsidR="00832DC5">
        <w:rPr>
          <w:sz w:val="28"/>
          <w:szCs w:val="28"/>
        </w:rPr>
        <w:t>332</w:t>
      </w:r>
      <w:r>
        <w:rPr>
          <w:sz w:val="28"/>
          <w:szCs w:val="28"/>
        </w:rPr>
        <w:t xml:space="preserve"> человек)</w:t>
      </w:r>
      <w:r w:rsidR="00832DC5">
        <w:rPr>
          <w:sz w:val="28"/>
          <w:szCs w:val="28"/>
        </w:rPr>
        <w:t xml:space="preserve">. </w:t>
      </w:r>
      <w:r>
        <w:rPr>
          <w:sz w:val="28"/>
          <w:szCs w:val="28"/>
        </w:rPr>
        <w:t xml:space="preserve"> </w:t>
      </w:r>
      <w:r w:rsidR="00B20F2C" w:rsidRPr="007329F9">
        <w:rPr>
          <w:noProof/>
          <w:sz w:val="28"/>
          <w:szCs w:val="28"/>
        </w:rPr>
        <w:drawing>
          <wp:inline distT="0" distB="0" distL="0" distR="0" wp14:anchorId="0C7D8255" wp14:editId="45FDA58F">
            <wp:extent cx="5886450" cy="4286250"/>
            <wp:effectExtent l="0" t="0" r="19050" b="1905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5462" w:rsidRDefault="00886A06" w:rsidP="00C95462">
      <w:pPr>
        <w:pStyle w:val="af9"/>
        <w:spacing w:after="0"/>
        <w:ind w:firstLine="709"/>
        <w:jc w:val="both"/>
        <w:rPr>
          <w:sz w:val="28"/>
          <w:szCs w:val="28"/>
        </w:rPr>
      </w:pPr>
      <w:r w:rsidRPr="007329F9">
        <w:rPr>
          <w:sz w:val="28"/>
          <w:szCs w:val="28"/>
        </w:rPr>
        <w:t xml:space="preserve">Основной задачей </w:t>
      </w:r>
      <w:r w:rsidR="007E1585" w:rsidRPr="007329F9">
        <w:rPr>
          <w:sz w:val="28"/>
          <w:szCs w:val="28"/>
        </w:rPr>
        <w:t xml:space="preserve"> в сфере демографии остается снижение темпов естественной убыли населения. На её решение будут направлены мероприятия по созданию благоприятных условий для повышения рождаемости, улучшению положения семей с детьми, сокращению уровня смертности, а также сохранению и укреплению здоровья населения, регулированию внутренней и внешней миграции. </w:t>
      </w:r>
    </w:p>
    <w:p w:rsidR="00C95462" w:rsidRDefault="007E1585" w:rsidP="00C95462">
      <w:pPr>
        <w:pStyle w:val="af9"/>
        <w:spacing w:after="0"/>
        <w:ind w:firstLine="709"/>
        <w:jc w:val="both"/>
        <w:rPr>
          <w:sz w:val="28"/>
          <w:szCs w:val="28"/>
        </w:rPr>
      </w:pPr>
      <w:r w:rsidRPr="007329F9">
        <w:rPr>
          <w:sz w:val="28"/>
          <w:szCs w:val="28"/>
        </w:rPr>
        <w:t>Росту рождаемости и снижению смертности будет способствовать модернизация системы здравоохранения, в рамках которой продолжится оснащение медицинских учреждений современным оборудованием. На стабилизацию демографической ситуации будут направлены мероприятия по формированию здорового образа</w:t>
      </w:r>
      <w:r w:rsidR="00B32BFE" w:rsidRPr="007329F9">
        <w:rPr>
          <w:sz w:val="28"/>
          <w:szCs w:val="28"/>
        </w:rPr>
        <w:t xml:space="preserve"> жизни</w:t>
      </w:r>
      <w:r w:rsidRPr="007329F9">
        <w:rPr>
          <w:sz w:val="28"/>
          <w:szCs w:val="28"/>
        </w:rPr>
        <w:t xml:space="preserve">, а также дополнительные меры поддержки семей, имеющих детей (сертификаты на материнский капитал). </w:t>
      </w:r>
      <w:r w:rsidR="0043000D">
        <w:rPr>
          <w:sz w:val="28"/>
          <w:szCs w:val="28"/>
        </w:rPr>
        <w:t>В прогнозируемом периоде д</w:t>
      </w:r>
      <w:r w:rsidRPr="007329F9">
        <w:rPr>
          <w:sz w:val="28"/>
          <w:szCs w:val="28"/>
        </w:rPr>
        <w:t>емографическая ситуация будет развиваться под влиянием сложившихся тенденций рождаемости и смертности</w:t>
      </w:r>
      <w:r w:rsidR="00A01B28" w:rsidRPr="007329F9">
        <w:rPr>
          <w:sz w:val="28"/>
          <w:szCs w:val="28"/>
        </w:rPr>
        <w:t>.</w:t>
      </w:r>
    </w:p>
    <w:p w:rsidR="00C95462" w:rsidRDefault="00CE63BC" w:rsidP="00C95462">
      <w:pPr>
        <w:pStyle w:val="af9"/>
        <w:spacing w:after="0"/>
        <w:ind w:firstLine="709"/>
        <w:jc w:val="both"/>
        <w:rPr>
          <w:sz w:val="28"/>
          <w:szCs w:val="28"/>
        </w:rPr>
      </w:pPr>
      <w:r w:rsidRPr="007329F9">
        <w:rPr>
          <w:sz w:val="28"/>
          <w:szCs w:val="28"/>
        </w:rPr>
        <w:t>В 201</w:t>
      </w:r>
      <w:r w:rsidR="0043738D">
        <w:rPr>
          <w:sz w:val="28"/>
          <w:szCs w:val="28"/>
        </w:rPr>
        <w:t>9</w:t>
      </w:r>
      <w:r w:rsidRPr="007329F9">
        <w:rPr>
          <w:sz w:val="28"/>
          <w:szCs w:val="28"/>
        </w:rPr>
        <w:t xml:space="preserve"> году  сложилась  негативная тенденция по снижению рождаемости. Рождаемость снизилась  на </w:t>
      </w:r>
      <w:r w:rsidR="0043738D">
        <w:rPr>
          <w:sz w:val="28"/>
          <w:szCs w:val="28"/>
        </w:rPr>
        <w:t>10</w:t>
      </w:r>
      <w:r w:rsidRPr="007329F9">
        <w:rPr>
          <w:sz w:val="28"/>
          <w:szCs w:val="28"/>
        </w:rPr>
        <w:t xml:space="preserve"> человек. Коэффициент рождаемости снизился с </w:t>
      </w:r>
      <w:r w:rsidR="0043738D">
        <w:rPr>
          <w:sz w:val="28"/>
          <w:szCs w:val="28"/>
        </w:rPr>
        <w:t>6,8</w:t>
      </w:r>
      <w:r w:rsidRPr="007329F9">
        <w:rPr>
          <w:sz w:val="28"/>
          <w:szCs w:val="28"/>
        </w:rPr>
        <w:t xml:space="preserve"> человек на 1000 человек населения до </w:t>
      </w:r>
      <w:r w:rsidR="0043000D">
        <w:rPr>
          <w:sz w:val="28"/>
          <w:szCs w:val="28"/>
        </w:rPr>
        <w:t>6,</w:t>
      </w:r>
      <w:r w:rsidR="0043738D">
        <w:rPr>
          <w:sz w:val="28"/>
          <w:szCs w:val="28"/>
        </w:rPr>
        <w:t>7</w:t>
      </w:r>
      <w:r w:rsidRPr="007329F9">
        <w:rPr>
          <w:sz w:val="28"/>
          <w:szCs w:val="28"/>
        </w:rPr>
        <w:t xml:space="preserve">  человек на 1000 человек населения</w:t>
      </w:r>
      <w:r w:rsidR="0043000D">
        <w:rPr>
          <w:sz w:val="28"/>
          <w:szCs w:val="28"/>
        </w:rPr>
        <w:t xml:space="preserve">. </w:t>
      </w:r>
      <w:r w:rsidR="00930543">
        <w:rPr>
          <w:sz w:val="28"/>
          <w:szCs w:val="28"/>
        </w:rPr>
        <w:t xml:space="preserve">В 2019 году смертность населения сократилась с 572 человек в 2018 году до 526 человек в 2019 году. </w:t>
      </w:r>
      <w:r w:rsidR="0043000D">
        <w:rPr>
          <w:sz w:val="28"/>
          <w:szCs w:val="28"/>
        </w:rPr>
        <w:t>К</w:t>
      </w:r>
      <w:r w:rsidRPr="007329F9">
        <w:rPr>
          <w:sz w:val="28"/>
          <w:szCs w:val="28"/>
        </w:rPr>
        <w:t xml:space="preserve">оэффициент смертности </w:t>
      </w:r>
      <w:r w:rsidR="00930543">
        <w:rPr>
          <w:sz w:val="28"/>
          <w:szCs w:val="28"/>
        </w:rPr>
        <w:t xml:space="preserve">снизился </w:t>
      </w:r>
      <w:r w:rsidR="00610FFC" w:rsidRPr="007329F9">
        <w:rPr>
          <w:sz w:val="28"/>
          <w:szCs w:val="28"/>
        </w:rPr>
        <w:t xml:space="preserve"> </w:t>
      </w:r>
      <w:r w:rsidRPr="007329F9">
        <w:rPr>
          <w:sz w:val="28"/>
          <w:szCs w:val="28"/>
        </w:rPr>
        <w:t xml:space="preserve">  с </w:t>
      </w:r>
      <w:r w:rsidR="00930543">
        <w:rPr>
          <w:sz w:val="28"/>
          <w:szCs w:val="28"/>
        </w:rPr>
        <w:t>19,1</w:t>
      </w:r>
      <w:r w:rsidRPr="007329F9">
        <w:rPr>
          <w:sz w:val="28"/>
          <w:szCs w:val="28"/>
        </w:rPr>
        <w:t xml:space="preserve"> человек на 1000 человек населения в 201</w:t>
      </w:r>
      <w:r w:rsidR="00930543">
        <w:rPr>
          <w:sz w:val="28"/>
          <w:szCs w:val="28"/>
        </w:rPr>
        <w:t>8</w:t>
      </w:r>
      <w:r w:rsidRPr="007329F9">
        <w:rPr>
          <w:sz w:val="28"/>
          <w:szCs w:val="28"/>
        </w:rPr>
        <w:t xml:space="preserve"> году до </w:t>
      </w:r>
      <w:r w:rsidR="0043000D">
        <w:rPr>
          <w:sz w:val="28"/>
          <w:szCs w:val="28"/>
        </w:rPr>
        <w:t>1</w:t>
      </w:r>
      <w:r w:rsidR="00930543">
        <w:rPr>
          <w:sz w:val="28"/>
          <w:szCs w:val="28"/>
        </w:rPr>
        <w:t>8</w:t>
      </w:r>
      <w:r w:rsidR="0043000D">
        <w:rPr>
          <w:sz w:val="28"/>
          <w:szCs w:val="28"/>
        </w:rPr>
        <w:t>,1</w:t>
      </w:r>
      <w:r w:rsidRPr="007329F9">
        <w:rPr>
          <w:sz w:val="28"/>
          <w:szCs w:val="28"/>
        </w:rPr>
        <w:t xml:space="preserve"> человек на 1000 человек населения в 201</w:t>
      </w:r>
      <w:r w:rsidR="00930543">
        <w:rPr>
          <w:sz w:val="28"/>
          <w:szCs w:val="28"/>
        </w:rPr>
        <w:t>9</w:t>
      </w:r>
      <w:r w:rsidRPr="007329F9">
        <w:rPr>
          <w:sz w:val="28"/>
          <w:szCs w:val="28"/>
        </w:rPr>
        <w:t xml:space="preserve"> году. </w:t>
      </w:r>
    </w:p>
    <w:p w:rsidR="00CE63BC" w:rsidRPr="007329F9" w:rsidRDefault="00CE63BC" w:rsidP="00C95462">
      <w:pPr>
        <w:pStyle w:val="af9"/>
        <w:spacing w:after="0"/>
        <w:ind w:firstLine="709"/>
        <w:jc w:val="both"/>
        <w:rPr>
          <w:sz w:val="28"/>
          <w:szCs w:val="28"/>
        </w:rPr>
      </w:pPr>
      <w:r w:rsidRPr="007329F9">
        <w:rPr>
          <w:sz w:val="28"/>
          <w:szCs w:val="28"/>
        </w:rPr>
        <w:t xml:space="preserve"> На прогнозируемый период ожидается уменьшение численности населения района  за счет естественной убыли до</w:t>
      </w:r>
      <w:r w:rsidR="00930543">
        <w:rPr>
          <w:sz w:val="28"/>
          <w:szCs w:val="28"/>
        </w:rPr>
        <w:t xml:space="preserve"> </w:t>
      </w:r>
      <w:r w:rsidRPr="007329F9">
        <w:rPr>
          <w:sz w:val="28"/>
          <w:szCs w:val="28"/>
        </w:rPr>
        <w:t xml:space="preserve"> </w:t>
      </w:r>
      <w:r w:rsidR="0043000D">
        <w:rPr>
          <w:sz w:val="28"/>
          <w:szCs w:val="28"/>
        </w:rPr>
        <w:t>28,0</w:t>
      </w:r>
      <w:r w:rsidRPr="007329F9">
        <w:rPr>
          <w:sz w:val="28"/>
          <w:szCs w:val="28"/>
        </w:rPr>
        <w:t xml:space="preserve"> </w:t>
      </w:r>
      <w:proofErr w:type="spellStart"/>
      <w:r w:rsidRPr="007329F9">
        <w:rPr>
          <w:sz w:val="28"/>
          <w:szCs w:val="28"/>
        </w:rPr>
        <w:t>тыс</w:t>
      </w:r>
      <w:proofErr w:type="gramStart"/>
      <w:r w:rsidRPr="007329F9">
        <w:rPr>
          <w:sz w:val="28"/>
          <w:szCs w:val="28"/>
        </w:rPr>
        <w:t>.ч</w:t>
      </w:r>
      <w:proofErr w:type="gramEnd"/>
      <w:r w:rsidRPr="007329F9">
        <w:rPr>
          <w:sz w:val="28"/>
          <w:szCs w:val="28"/>
        </w:rPr>
        <w:t>еловек</w:t>
      </w:r>
      <w:proofErr w:type="spellEnd"/>
      <w:r w:rsidRPr="007329F9">
        <w:rPr>
          <w:sz w:val="28"/>
          <w:szCs w:val="28"/>
        </w:rPr>
        <w:t xml:space="preserve"> </w:t>
      </w:r>
      <w:r w:rsidR="00671BA1" w:rsidRPr="007329F9">
        <w:rPr>
          <w:sz w:val="28"/>
          <w:szCs w:val="28"/>
        </w:rPr>
        <w:t xml:space="preserve"> </w:t>
      </w:r>
      <w:r w:rsidRPr="007329F9">
        <w:rPr>
          <w:sz w:val="28"/>
          <w:szCs w:val="28"/>
        </w:rPr>
        <w:t>в 202</w:t>
      </w:r>
      <w:r w:rsidR="00930543">
        <w:rPr>
          <w:sz w:val="28"/>
          <w:szCs w:val="28"/>
        </w:rPr>
        <w:t>3</w:t>
      </w:r>
      <w:r w:rsidRPr="007329F9">
        <w:rPr>
          <w:sz w:val="28"/>
          <w:szCs w:val="28"/>
        </w:rPr>
        <w:t xml:space="preserve"> году. </w:t>
      </w:r>
      <w:r w:rsidR="0043000D">
        <w:rPr>
          <w:sz w:val="28"/>
          <w:szCs w:val="28"/>
        </w:rPr>
        <w:t>Коэффициент рождаемо</w:t>
      </w:r>
      <w:r w:rsidR="00930543">
        <w:rPr>
          <w:sz w:val="28"/>
          <w:szCs w:val="28"/>
        </w:rPr>
        <w:t>сти прогнозируется на уровне 6,8</w:t>
      </w:r>
      <w:r w:rsidR="0043000D">
        <w:rPr>
          <w:sz w:val="28"/>
          <w:szCs w:val="28"/>
        </w:rPr>
        <w:t xml:space="preserve"> человек на 1000 человек населения, </w:t>
      </w:r>
      <w:r w:rsidR="0043000D">
        <w:rPr>
          <w:sz w:val="28"/>
          <w:szCs w:val="28"/>
        </w:rPr>
        <w:lastRenderedPageBreak/>
        <w:t>к</w:t>
      </w:r>
      <w:r w:rsidRPr="007329F9">
        <w:rPr>
          <w:sz w:val="28"/>
          <w:szCs w:val="28"/>
        </w:rPr>
        <w:t xml:space="preserve">оэффициент смертности прогнозируется на уровне </w:t>
      </w:r>
      <w:r w:rsidR="00930543">
        <w:rPr>
          <w:sz w:val="28"/>
          <w:szCs w:val="28"/>
        </w:rPr>
        <w:t>17,6</w:t>
      </w:r>
      <w:r w:rsidRPr="007329F9">
        <w:rPr>
          <w:sz w:val="28"/>
          <w:szCs w:val="28"/>
        </w:rPr>
        <w:t xml:space="preserve"> человек на 1000 человек населения. </w:t>
      </w:r>
    </w:p>
    <w:p w:rsidR="00234530" w:rsidRPr="007329F9" w:rsidRDefault="00234530" w:rsidP="007329F9">
      <w:pPr>
        <w:ind w:firstLine="709"/>
        <w:jc w:val="center"/>
        <w:rPr>
          <w:b/>
          <w:sz w:val="28"/>
          <w:szCs w:val="28"/>
        </w:rPr>
      </w:pPr>
    </w:p>
    <w:p w:rsidR="00E948AD" w:rsidRDefault="00E948AD" w:rsidP="00E948AD">
      <w:pPr>
        <w:pStyle w:val="a6"/>
        <w:ind w:left="0"/>
        <w:jc w:val="center"/>
        <w:rPr>
          <w:b/>
          <w:sz w:val="28"/>
          <w:lang w:val="ru-RU"/>
        </w:rPr>
      </w:pPr>
      <w:r w:rsidRPr="00E948AD">
        <w:rPr>
          <w:b/>
          <w:sz w:val="28"/>
          <w:lang w:val="ru-RU"/>
        </w:rPr>
        <w:t>2. Промышленное производство</w:t>
      </w:r>
    </w:p>
    <w:p w:rsidR="00E948AD" w:rsidRPr="00E948AD" w:rsidRDefault="00E948AD" w:rsidP="00E948AD">
      <w:pPr>
        <w:pStyle w:val="a6"/>
        <w:ind w:left="0"/>
        <w:jc w:val="center"/>
        <w:rPr>
          <w:b/>
          <w:sz w:val="28"/>
          <w:lang w:val="ru-RU"/>
        </w:rPr>
      </w:pPr>
    </w:p>
    <w:p w:rsidR="009368E9" w:rsidRDefault="009368E9" w:rsidP="009368E9">
      <w:pPr>
        <w:pStyle w:val="a6"/>
        <w:ind w:left="0" w:firstLine="900"/>
        <w:jc w:val="both"/>
        <w:rPr>
          <w:sz w:val="28"/>
          <w:lang w:val="ru-RU"/>
        </w:rPr>
      </w:pPr>
      <w:r>
        <w:rPr>
          <w:sz w:val="28"/>
          <w:lang w:val="ru-RU"/>
        </w:rPr>
        <w:t xml:space="preserve">По прогнозной оценке  </w:t>
      </w:r>
      <w:r>
        <w:rPr>
          <w:sz w:val="28"/>
        </w:rPr>
        <w:t>объем отгруженных товаров собственного производства, выполненных работ и услуг</w:t>
      </w:r>
      <w:r>
        <w:rPr>
          <w:sz w:val="28"/>
          <w:lang w:val="ru-RU"/>
        </w:rPr>
        <w:t xml:space="preserve"> по полному кругу предприятий </w:t>
      </w:r>
      <w:r>
        <w:rPr>
          <w:sz w:val="28"/>
        </w:rPr>
        <w:t xml:space="preserve"> </w:t>
      </w:r>
      <w:r>
        <w:rPr>
          <w:sz w:val="28"/>
          <w:lang w:val="ru-RU"/>
        </w:rPr>
        <w:t xml:space="preserve">Починковского </w:t>
      </w:r>
      <w:r>
        <w:rPr>
          <w:sz w:val="28"/>
        </w:rPr>
        <w:t xml:space="preserve"> района составит </w:t>
      </w:r>
      <w:r>
        <w:rPr>
          <w:sz w:val="28"/>
          <w:lang w:val="ru-RU"/>
        </w:rPr>
        <w:t xml:space="preserve">в 2020 году </w:t>
      </w:r>
      <w:r>
        <w:rPr>
          <w:sz w:val="28"/>
        </w:rPr>
        <w:t xml:space="preserve"> </w:t>
      </w:r>
      <w:r>
        <w:rPr>
          <w:sz w:val="28"/>
          <w:lang w:val="ru-RU"/>
        </w:rPr>
        <w:t xml:space="preserve">- 1880,7 </w:t>
      </w:r>
      <w:r>
        <w:rPr>
          <w:sz w:val="28"/>
        </w:rPr>
        <w:t xml:space="preserve"> млн. рублей, в 2</w:t>
      </w:r>
      <w:r>
        <w:rPr>
          <w:sz w:val="28"/>
          <w:lang w:val="ru-RU"/>
        </w:rPr>
        <w:t>021</w:t>
      </w:r>
      <w:r>
        <w:rPr>
          <w:sz w:val="28"/>
        </w:rPr>
        <w:t xml:space="preserve"> году – </w:t>
      </w:r>
      <w:r>
        <w:rPr>
          <w:sz w:val="28"/>
          <w:lang w:val="ru-RU"/>
        </w:rPr>
        <w:t>1993,3</w:t>
      </w:r>
      <w:r>
        <w:rPr>
          <w:sz w:val="28"/>
        </w:rPr>
        <w:t xml:space="preserve"> млн. рублей, в 20</w:t>
      </w:r>
      <w:r>
        <w:rPr>
          <w:sz w:val="28"/>
          <w:lang w:val="ru-RU"/>
        </w:rPr>
        <w:t>22</w:t>
      </w:r>
      <w:r>
        <w:rPr>
          <w:sz w:val="28"/>
        </w:rPr>
        <w:t xml:space="preserve"> году – </w:t>
      </w:r>
      <w:r>
        <w:rPr>
          <w:sz w:val="28"/>
          <w:lang w:val="ru-RU"/>
        </w:rPr>
        <w:t>2081,1</w:t>
      </w:r>
      <w:r>
        <w:rPr>
          <w:sz w:val="28"/>
        </w:rPr>
        <w:t xml:space="preserve"> млн. </w:t>
      </w:r>
      <w:proofErr w:type="spellStart"/>
      <w:r>
        <w:rPr>
          <w:sz w:val="28"/>
        </w:rPr>
        <w:t>рублей</w:t>
      </w:r>
      <w:proofErr w:type="gramStart"/>
      <w:r>
        <w:rPr>
          <w:sz w:val="28"/>
          <w:lang w:val="ru-RU"/>
        </w:rPr>
        <w:t>,в</w:t>
      </w:r>
      <w:proofErr w:type="spellEnd"/>
      <w:proofErr w:type="gramEnd"/>
      <w:r>
        <w:rPr>
          <w:sz w:val="28"/>
          <w:lang w:val="ru-RU"/>
        </w:rPr>
        <w:t xml:space="preserve">  2023 году  достигнет  2188,3 </w:t>
      </w:r>
      <w:proofErr w:type="spellStart"/>
      <w:r>
        <w:rPr>
          <w:sz w:val="28"/>
          <w:lang w:val="ru-RU"/>
        </w:rPr>
        <w:t>млн.рублей</w:t>
      </w:r>
      <w:proofErr w:type="spellEnd"/>
      <w:r>
        <w:rPr>
          <w:sz w:val="28"/>
          <w:lang w:val="ru-RU"/>
        </w:rPr>
        <w:t>.</w:t>
      </w:r>
    </w:p>
    <w:p w:rsidR="009368E9" w:rsidRDefault="009368E9" w:rsidP="009368E9">
      <w:pPr>
        <w:pStyle w:val="a6"/>
        <w:ind w:left="0"/>
        <w:jc w:val="both"/>
        <w:rPr>
          <w:sz w:val="28"/>
          <w:lang w:val="ru-RU"/>
        </w:rPr>
      </w:pPr>
      <w:r>
        <w:rPr>
          <w:sz w:val="28"/>
        </w:rPr>
        <w:t xml:space="preserve">          </w:t>
      </w:r>
      <w:r>
        <w:rPr>
          <w:sz w:val="28"/>
          <w:lang w:val="ru-RU"/>
        </w:rPr>
        <w:t>И</w:t>
      </w:r>
      <w:proofErr w:type="spellStart"/>
      <w:r>
        <w:rPr>
          <w:sz w:val="28"/>
        </w:rPr>
        <w:t>ндекс</w:t>
      </w:r>
      <w:proofErr w:type="spellEnd"/>
      <w:r>
        <w:rPr>
          <w:sz w:val="28"/>
        </w:rPr>
        <w:t xml:space="preserve">  промышленного производства </w:t>
      </w:r>
      <w:r>
        <w:rPr>
          <w:sz w:val="28"/>
          <w:lang w:val="ru-RU"/>
        </w:rPr>
        <w:t>в 2020 году прогнозируется на уровне 105,1 процентов, на плановый период в 2021 году – 102,3 процента, 2022 году – 100,7 процента, в 2023 году – 101процент.</w:t>
      </w:r>
    </w:p>
    <w:p w:rsidR="009368E9" w:rsidRDefault="009368E9" w:rsidP="009368E9">
      <w:pPr>
        <w:pStyle w:val="a6"/>
        <w:ind w:left="0"/>
        <w:jc w:val="both"/>
        <w:rPr>
          <w:sz w:val="28"/>
          <w:lang w:val="ru-RU"/>
        </w:rPr>
      </w:pPr>
      <w:r>
        <w:rPr>
          <w:noProof/>
          <w:lang w:val="ru-RU" w:eastAsia="ru-RU"/>
        </w:rPr>
        <w:drawing>
          <wp:inline distT="0" distB="0" distL="0" distR="0" wp14:anchorId="7DDE1A0B" wp14:editId="4C9A217D">
            <wp:extent cx="5886450" cy="3094160"/>
            <wp:effectExtent l="0" t="0" r="19050" b="1143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68E9" w:rsidRDefault="009368E9" w:rsidP="009368E9">
      <w:pPr>
        <w:pStyle w:val="a6"/>
        <w:ind w:left="0"/>
        <w:jc w:val="both"/>
        <w:rPr>
          <w:sz w:val="28"/>
          <w:lang w:val="ru-RU"/>
        </w:rPr>
      </w:pPr>
      <w:r>
        <w:rPr>
          <w:sz w:val="28"/>
        </w:rPr>
        <w:t xml:space="preserve">           В структуре производства в 20</w:t>
      </w:r>
      <w:r>
        <w:rPr>
          <w:sz w:val="28"/>
          <w:lang w:val="ru-RU"/>
        </w:rPr>
        <w:t>20</w:t>
      </w:r>
      <w:r>
        <w:rPr>
          <w:sz w:val="28"/>
        </w:rPr>
        <w:t xml:space="preserve"> году основная доля (</w:t>
      </w:r>
      <w:r>
        <w:rPr>
          <w:sz w:val="28"/>
          <w:lang w:val="ru-RU"/>
        </w:rPr>
        <w:t>96,2%</w:t>
      </w:r>
      <w:r>
        <w:rPr>
          <w:sz w:val="28"/>
        </w:rPr>
        <w:t xml:space="preserve">) будет приходиться на обрабатывающие производства, доля добычи полезных ископаемых  будет составлять </w:t>
      </w:r>
      <w:r>
        <w:rPr>
          <w:sz w:val="28"/>
          <w:lang w:val="ru-RU"/>
        </w:rPr>
        <w:t>1,8</w:t>
      </w:r>
      <w:r>
        <w:rPr>
          <w:sz w:val="28"/>
        </w:rPr>
        <w:t xml:space="preserve"> </w:t>
      </w:r>
      <w:r>
        <w:rPr>
          <w:sz w:val="28"/>
          <w:lang w:val="ru-RU"/>
        </w:rPr>
        <w:t>%</w:t>
      </w:r>
      <w:r>
        <w:rPr>
          <w:sz w:val="28"/>
        </w:rPr>
        <w:t xml:space="preserve">, производство и распределение электроэнергии, газа и воды – </w:t>
      </w:r>
      <w:r>
        <w:rPr>
          <w:sz w:val="28"/>
          <w:lang w:val="ru-RU"/>
        </w:rPr>
        <w:t>2%</w:t>
      </w:r>
      <w:r>
        <w:rPr>
          <w:sz w:val="28"/>
        </w:rPr>
        <w:t xml:space="preserve"> от общего объема отгруженной продукции. </w:t>
      </w:r>
    </w:p>
    <w:p w:rsidR="009368E9" w:rsidRPr="006B2942" w:rsidRDefault="009368E9" w:rsidP="009368E9">
      <w:pPr>
        <w:pStyle w:val="a6"/>
        <w:ind w:left="0" w:firstLine="709"/>
        <w:jc w:val="both"/>
        <w:rPr>
          <w:sz w:val="28"/>
          <w:lang w:val="ru-RU"/>
        </w:rPr>
      </w:pPr>
      <w:r>
        <w:rPr>
          <w:sz w:val="28"/>
          <w:lang w:val="ru-RU"/>
        </w:rPr>
        <w:t xml:space="preserve">В 2019 году  структура промышленного производства изменилась, так на долю обрабатывающих производств стало приходиться 96,2% вместо 84,7%, доля добывающих производств уменьшилась с 8,3 % до 1,8%, доля производства электроэнергии, газа и воды уменьшилась с 7% </w:t>
      </w:r>
      <w:proofErr w:type="gramStart"/>
      <w:r>
        <w:rPr>
          <w:sz w:val="28"/>
          <w:lang w:val="ru-RU"/>
        </w:rPr>
        <w:t>до</w:t>
      </w:r>
      <w:proofErr w:type="gramEnd"/>
      <w:r>
        <w:rPr>
          <w:sz w:val="28"/>
          <w:lang w:val="ru-RU"/>
        </w:rPr>
        <w:t xml:space="preserve"> 2%.</w:t>
      </w:r>
    </w:p>
    <w:p w:rsidR="009368E9" w:rsidRPr="0032690B" w:rsidRDefault="009368E9" w:rsidP="009368E9">
      <w:pPr>
        <w:pStyle w:val="a6"/>
        <w:ind w:left="0"/>
        <w:jc w:val="both"/>
        <w:rPr>
          <w:sz w:val="28"/>
          <w:lang w:val="ru-RU"/>
        </w:rPr>
      </w:pPr>
      <w:r>
        <w:rPr>
          <w:noProof/>
          <w:sz w:val="28"/>
          <w:lang w:val="ru-RU" w:eastAsia="ru-RU"/>
        </w:rPr>
        <w:lastRenderedPageBreak/>
        <w:drawing>
          <wp:inline distT="0" distB="0" distL="0" distR="0" wp14:anchorId="50039E3D" wp14:editId="35DA5E3B">
            <wp:extent cx="5200650" cy="26765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68E9" w:rsidRDefault="009368E9" w:rsidP="009368E9">
      <w:pPr>
        <w:pStyle w:val="a6"/>
        <w:spacing w:after="0"/>
        <w:ind w:left="0"/>
        <w:jc w:val="both"/>
        <w:rPr>
          <w:sz w:val="28"/>
          <w:lang w:val="ru-RU"/>
        </w:rPr>
      </w:pPr>
      <w:r>
        <w:rPr>
          <w:sz w:val="28"/>
        </w:rPr>
        <w:t xml:space="preserve">             </w:t>
      </w:r>
    </w:p>
    <w:p w:rsidR="009368E9" w:rsidRDefault="009368E9" w:rsidP="009368E9">
      <w:pPr>
        <w:pStyle w:val="a6"/>
        <w:spacing w:after="0"/>
        <w:ind w:left="0" w:firstLine="851"/>
        <w:jc w:val="both"/>
        <w:rPr>
          <w:sz w:val="28"/>
        </w:rPr>
      </w:pPr>
      <w:r>
        <w:rPr>
          <w:sz w:val="28"/>
        </w:rPr>
        <w:t>Добыч</w:t>
      </w:r>
      <w:r>
        <w:rPr>
          <w:sz w:val="28"/>
          <w:lang w:val="ru-RU"/>
        </w:rPr>
        <w:t>у</w:t>
      </w:r>
      <w:r>
        <w:rPr>
          <w:sz w:val="28"/>
        </w:rPr>
        <w:t xml:space="preserve"> полезных ископаемых осуществляет </w:t>
      </w:r>
      <w:r>
        <w:rPr>
          <w:sz w:val="28"/>
          <w:lang w:val="ru-RU"/>
        </w:rPr>
        <w:t>ООО «</w:t>
      </w:r>
      <w:proofErr w:type="spellStart"/>
      <w:r>
        <w:rPr>
          <w:sz w:val="28"/>
          <w:lang w:val="ru-RU"/>
        </w:rPr>
        <w:t>СмолЖБИКомплект</w:t>
      </w:r>
      <w:proofErr w:type="spellEnd"/>
      <w:r>
        <w:rPr>
          <w:sz w:val="28"/>
          <w:lang w:val="ru-RU"/>
        </w:rPr>
        <w:t>»</w:t>
      </w:r>
      <w:r>
        <w:rPr>
          <w:sz w:val="28"/>
        </w:rPr>
        <w:t>.</w:t>
      </w:r>
    </w:p>
    <w:p w:rsidR="009368E9" w:rsidRDefault="009368E9" w:rsidP="009368E9">
      <w:pPr>
        <w:pStyle w:val="a6"/>
        <w:spacing w:after="0"/>
        <w:ind w:left="0"/>
        <w:jc w:val="both"/>
        <w:rPr>
          <w:sz w:val="28"/>
          <w:lang w:val="ru-RU"/>
        </w:rPr>
      </w:pPr>
      <w:r>
        <w:rPr>
          <w:sz w:val="28"/>
        </w:rPr>
        <w:t xml:space="preserve">             Индекс промышленного производства по данному виду экономической деятельности составит: в 20</w:t>
      </w:r>
      <w:r>
        <w:rPr>
          <w:sz w:val="28"/>
          <w:lang w:val="ru-RU"/>
        </w:rPr>
        <w:t>20</w:t>
      </w:r>
      <w:r>
        <w:rPr>
          <w:sz w:val="28"/>
        </w:rPr>
        <w:t xml:space="preserve"> году – </w:t>
      </w:r>
      <w:r>
        <w:rPr>
          <w:sz w:val="28"/>
          <w:lang w:val="ru-RU"/>
        </w:rPr>
        <w:t>110,0%</w:t>
      </w:r>
      <w:r>
        <w:rPr>
          <w:sz w:val="28"/>
        </w:rPr>
        <w:t>, в 20</w:t>
      </w:r>
      <w:r>
        <w:rPr>
          <w:sz w:val="28"/>
          <w:lang w:val="ru-RU"/>
        </w:rPr>
        <w:t>21</w:t>
      </w:r>
      <w:r>
        <w:rPr>
          <w:sz w:val="28"/>
        </w:rPr>
        <w:t xml:space="preserve"> году – </w:t>
      </w:r>
      <w:r>
        <w:rPr>
          <w:sz w:val="28"/>
          <w:lang w:val="ru-RU"/>
        </w:rPr>
        <w:t>106,2%</w:t>
      </w:r>
      <w:r>
        <w:rPr>
          <w:sz w:val="28"/>
        </w:rPr>
        <w:t>, в 20</w:t>
      </w:r>
      <w:r>
        <w:rPr>
          <w:sz w:val="28"/>
          <w:lang w:val="ru-RU"/>
        </w:rPr>
        <w:t>22</w:t>
      </w:r>
      <w:r>
        <w:rPr>
          <w:sz w:val="28"/>
        </w:rPr>
        <w:t xml:space="preserve"> году – </w:t>
      </w:r>
      <w:r>
        <w:rPr>
          <w:sz w:val="28"/>
          <w:lang w:val="ru-RU"/>
        </w:rPr>
        <w:t xml:space="preserve">104,7%, в 2023- 96,2%.  </w:t>
      </w:r>
    </w:p>
    <w:p w:rsidR="009368E9" w:rsidRDefault="009368E9" w:rsidP="009368E9">
      <w:pPr>
        <w:pStyle w:val="a6"/>
        <w:spacing w:after="0"/>
        <w:ind w:left="0" w:firstLine="851"/>
        <w:jc w:val="both"/>
        <w:rPr>
          <w:sz w:val="28"/>
          <w:lang w:val="ru-RU"/>
        </w:rPr>
      </w:pPr>
      <w:r>
        <w:rPr>
          <w:sz w:val="28"/>
          <w:lang w:val="ru-RU"/>
        </w:rPr>
        <w:t>В 2019 году отгруженных товаров по виду экономической деятельности «Обрабатывающие производства» увеличился по сравнению в 2018 годом в 5,1 раз. Значительное увеличение объясняется началом производства комбинированного корма для животных ЗАО «Тропарево».</w:t>
      </w:r>
    </w:p>
    <w:p w:rsidR="009368E9" w:rsidRDefault="009368E9" w:rsidP="009368E9">
      <w:pPr>
        <w:pStyle w:val="a6"/>
        <w:spacing w:after="0"/>
        <w:ind w:left="0"/>
        <w:jc w:val="both"/>
        <w:rPr>
          <w:sz w:val="28"/>
        </w:rPr>
      </w:pPr>
      <w:r>
        <w:rPr>
          <w:sz w:val="28"/>
        </w:rPr>
        <w:t xml:space="preserve">             Согласно прогнозу в 20</w:t>
      </w:r>
      <w:r>
        <w:rPr>
          <w:sz w:val="28"/>
          <w:lang w:val="ru-RU"/>
        </w:rPr>
        <w:t>20</w:t>
      </w:r>
      <w:r>
        <w:rPr>
          <w:sz w:val="28"/>
        </w:rPr>
        <w:t xml:space="preserve"> году объем отгруженных товаров, выполненных работ и услуг по виду экономической деятельности «Обрабатывающие производства» составит </w:t>
      </w:r>
      <w:r>
        <w:rPr>
          <w:sz w:val="28"/>
          <w:lang w:val="ru-RU"/>
        </w:rPr>
        <w:t>1809,1</w:t>
      </w:r>
      <w:r>
        <w:rPr>
          <w:sz w:val="28"/>
        </w:rPr>
        <w:t xml:space="preserve"> млн. рублей. Индекс промышленного производства составит </w:t>
      </w:r>
      <w:r>
        <w:rPr>
          <w:sz w:val="28"/>
          <w:lang w:val="ru-RU"/>
        </w:rPr>
        <w:t>104,5%</w:t>
      </w:r>
      <w:r>
        <w:rPr>
          <w:sz w:val="28"/>
        </w:rPr>
        <w:t>.</w:t>
      </w:r>
    </w:p>
    <w:p w:rsidR="009368E9" w:rsidRDefault="009368E9" w:rsidP="009368E9">
      <w:pPr>
        <w:pStyle w:val="a6"/>
        <w:spacing w:after="0"/>
        <w:ind w:left="0" w:firstLine="993"/>
        <w:jc w:val="both"/>
        <w:rPr>
          <w:sz w:val="28"/>
          <w:lang w:val="ru-RU"/>
        </w:rPr>
      </w:pPr>
      <w:r>
        <w:rPr>
          <w:sz w:val="28"/>
        </w:rPr>
        <w:t>В последующие годы развитие данного вида деятельности сохранится, индекс промышленного производства на 20</w:t>
      </w:r>
      <w:r>
        <w:rPr>
          <w:sz w:val="28"/>
          <w:lang w:val="ru-RU"/>
        </w:rPr>
        <w:t>21</w:t>
      </w:r>
      <w:r>
        <w:rPr>
          <w:sz w:val="28"/>
        </w:rPr>
        <w:t xml:space="preserve"> год прогнозируется </w:t>
      </w:r>
      <w:r>
        <w:rPr>
          <w:sz w:val="28"/>
          <w:lang w:val="ru-RU"/>
        </w:rPr>
        <w:t>на уровне</w:t>
      </w:r>
      <w:r>
        <w:rPr>
          <w:sz w:val="28"/>
        </w:rPr>
        <w:t xml:space="preserve"> </w:t>
      </w:r>
      <w:r>
        <w:rPr>
          <w:sz w:val="28"/>
          <w:lang w:val="ru-RU"/>
        </w:rPr>
        <w:t xml:space="preserve">102,3%, </w:t>
      </w:r>
      <w:r>
        <w:rPr>
          <w:sz w:val="28"/>
        </w:rPr>
        <w:t xml:space="preserve">  на 20</w:t>
      </w:r>
      <w:r>
        <w:rPr>
          <w:sz w:val="28"/>
          <w:lang w:val="ru-RU"/>
        </w:rPr>
        <w:t>22</w:t>
      </w:r>
      <w:r>
        <w:rPr>
          <w:sz w:val="28"/>
        </w:rPr>
        <w:t xml:space="preserve"> год – </w:t>
      </w:r>
      <w:r>
        <w:rPr>
          <w:sz w:val="28"/>
          <w:lang w:val="ru-RU"/>
        </w:rPr>
        <w:t xml:space="preserve">102,3%, в 2023 году – 100,6%, в 2023 году – 101%. </w:t>
      </w:r>
    </w:p>
    <w:p w:rsidR="009368E9" w:rsidRDefault="009368E9" w:rsidP="009368E9">
      <w:pPr>
        <w:pStyle w:val="a6"/>
        <w:spacing w:after="0"/>
        <w:ind w:left="0" w:firstLine="993"/>
        <w:jc w:val="both"/>
        <w:rPr>
          <w:sz w:val="28"/>
          <w:lang w:val="ru-RU"/>
        </w:rPr>
      </w:pPr>
      <w:r>
        <w:rPr>
          <w:sz w:val="28"/>
          <w:lang w:val="ru-RU"/>
        </w:rPr>
        <w:t>Рост на протяжении планируемого периода будет обеспечен увеличением объемов отгрузки следующими предприятиями:</w:t>
      </w:r>
    </w:p>
    <w:p w:rsidR="009368E9" w:rsidRDefault="009368E9" w:rsidP="009368E9">
      <w:pPr>
        <w:pStyle w:val="a6"/>
        <w:spacing w:after="0"/>
        <w:ind w:left="0" w:firstLine="993"/>
        <w:jc w:val="both"/>
        <w:rPr>
          <w:sz w:val="28"/>
          <w:lang w:val="ru-RU"/>
        </w:rPr>
      </w:pPr>
      <w:r>
        <w:rPr>
          <w:sz w:val="28"/>
          <w:lang w:val="ru-RU"/>
        </w:rPr>
        <w:t>- ЗАО «Тропарево» на 101,9%;</w:t>
      </w:r>
    </w:p>
    <w:p w:rsidR="009368E9" w:rsidRDefault="009368E9" w:rsidP="009368E9">
      <w:pPr>
        <w:pStyle w:val="a6"/>
        <w:spacing w:after="0"/>
        <w:ind w:left="0" w:firstLine="993"/>
        <w:jc w:val="both"/>
        <w:rPr>
          <w:sz w:val="28"/>
          <w:lang w:val="ru-RU"/>
        </w:rPr>
      </w:pPr>
      <w:r>
        <w:rPr>
          <w:sz w:val="28"/>
          <w:lang w:val="ru-RU"/>
        </w:rPr>
        <w:t>-  ООО «Починковская швейная фабрика» на 109,8% - за счет ввода в эксплуатацию новой швейной фабрики;</w:t>
      </w:r>
    </w:p>
    <w:p w:rsidR="009368E9" w:rsidRDefault="009368E9" w:rsidP="009368E9">
      <w:pPr>
        <w:pStyle w:val="a6"/>
        <w:spacing w:after="0"/>
        <w:ind w:left="0" w:firstLine="993"/>
        <w:jc w:val="both"/>
        <w:rPr>
          <w:sz w:val="28"/>
          <w:lang w:val="ru-RU"/>
        </w:rPr>
      </w:pPr>
      <w:r>
        <w:rPr>
          <w:sz w:val="28"/>
          <w:lang w:val="ru-RU"/>
        </w:rPr>
        <w:t>-  СППК «Васьковский» - сохранит производство на уровне 100%  -  за счет реконструкции молочного цеха;</w:t>
      </w:r>
    </w:p>
    <w:p w:rsidR="009368E9" w:rsidRDefault="009368E9" w:rsidP="009368E9">
      <w:pPr>
        <w:pStyle w:val="a6"/>
        <w:spacing w:after="0"/>
        <w:ind w:left="0" w:firstLine="993"/>
        <w:jc w:val="both"/>
        <w:rPr>
          <w:sz w:val="28"/>
          <w:lang w:val="ru-RU"/>
        </w:rPr>
      </w:pPr>
      <w:r>
        <w:rPr>
          <w:sz w:val="28"/>
          <w:lang w:val="ru-RU"/>
        </w:rPr>
        <w:t>- ООО «</w:t>
      </w:r>
      <w:proofErr w:type="spellStart"/>
      <w:r>
        <w:rPr>
          <w:sz w:val="28"/>
          <w:lang w:val="ru-RU"/>
        </w:rPr>
        <w:t>Починокмолоко</w:t>
      </w:r>
      <w:proofErr w:type="spellEnd"/>
      <w:r>
        <w:rPr>
          <w:sz w:val="28"/>
          <w:lang w:val="ru-RU"/>
        </w:rPr>
        <w:t>» - на 101,2 за счет модернизации цеха по переработке молока.</w:t>
      </w:r>
    </w:p>
    <w:p w:rsidR="009368E9" w:rsidRDefault="009368E9" w:rsidP="009368E9">
      <w:pPr>
        <w:pStyle w:val="a6"/>
        <w:spacing w:after="0"/>
        <w:ind w:left="0" w:firstLine="993"/>
        <w:jc w:val="both"/>
        <w:rPr>
          <w:sz w:val="28"/>
          <w:lang w:val="ru-RU"/>
        </w:rPr>
      </w:pPr>
      <w:r>
        <w:rPr>
          <w:sz w:val="28"/>
        </w:rPr>
        <w:t xml:space="preserve">Положительная динамика индексов производства в прогнозном периоде будет обеспечена по всем подвидам экономической деятельности: производство пищевых продуктов; </w:t>
      </w:r>
      <w:r>
        <w:rPr>
          <w:sz w:val="28"/>
          <w:lang w:val="ru-RU"/>
        </w:rPr>
        <w:t>производство одежды,  производство прочей неметаллической минеральной продукции следующими предприятиями: СППК «Васьковский» (молочная продукция), ООО «</w:t>
      </w:r>
      <w:proofErr w:type="spellStart"/>
      <w:r>
        <w:rPr>
          <w:sz w:val="28"/>
          <w:lang w:val="ru-RU"/>
        </w:rPr>
        <w:t>Починокмолоко</w:t>
      </w:r>
      <w:proofErr w:type="spellEnd"/>
      <w:r>
        <w:rPr>
          <w:sz w:val="28"/>
          <w:lang w:val="ru-RU"/>
        </w:rPr>
        <w:t>» (молочная продукция), ПО «Колос» (хлебобулочная продукция), ООО «Починковская швейная фабрика» (рабочая одежда), ООО «</w:t>
      </w:r>
      <w:proofErr w:type="spellStart"/>
      <w:r>
        <w:rPr>
          <w:sz w:val="28"/>
          <w:lang w:val="ru-RU"/>
        </w:rPr>
        <w:t>СмолЖБИКомплект</w:t>
      </w:r>
      <w:proofErr w:type="spellEnd"/>
      <w:r>
        <w:rPr>
          <w:sz w:val="28"/>
          <w:lang w:val="ru-RU"/>
        </w:rPr>
        <w:t>» (утеплитель, бетон, изделия из бетона).</w:t>
      </w:r>
    </w:p>
    <w:p w:rsidR="009368E9" w:rsidRDefault="009368E9" w:rsidP="009368E9">
      <w:pPr>
        <w:pStyle w:val="a6"/>
        <w:spacing w:after="0"/>
        <w:ind w:left="0" w:firstLine="993"/>
        <w:jc w:val="both"/>
        <w:rPr>
          <w:sz w:val="28"/>
          <w:lang w:val="ru-RU"/>
        </w:rPr>
      </w:pPr>
      <w:r>
        <w:rPr>
          <w:sz w:val="28"/>
        </w:rPr>
        <w:lastRenderedPageBreak/>
        <w:t>В 20</w:t>
      </w:r>
      <w:r>
        <w:rPr>
          <w:sz w:val="28"/>
          <w:lang w:val="ru-RU"/>
        </w:rPr>
        <w:t>20</w:t>
      </w:r>
      <w:r>
        <w:rPr>
          <w:sz w:val="28"/>
        </w:rPr>
        <w:t xml:space="preserve"> году согласно прогнозу объем отгруженных товаров, выполненных работ и услуг по виду экономической деятельности: </w:t>
      </w:r>
      <w:r>
        <w:rPr>
          <w:sz w:val="28"/>
          <w:lang w:val="ru-RU"/>
        </w:rPr>
        <w:t>водоснабжение, водоотведение</w:t>
      </w:r>
      <w:r>
        <w:rPr>
          <w:sz w:val="28"/>
        </w:rPr>
        <w:t xml:space="preserve"> составит </w:t>
      </w:r>
      <w:r>
        <w:rPr>
          <w:sz w:val="28"/>
          <w:lang w:val="ru-RU"/>
        </w:rPr>
        <w:t>38,1</w:t>
      </w:r>
      <w:r>
        <w:rPr>
          <w:sz w:val="28"/>
        </w:rPr>
        <w:t xml:space="preserve"> млн. рублей. </w:t>
      </w:r>
      <w:r>
        <w:rPr>
          <w:sz w:val="28"/>
          <w:lang w:val="ru-RU"/>
        </w:rPr>
        <w:t>В прогнозном периоде индекс производства прогнозируется с небольшим уменьшением с 102% в 2021 году до 100,7% в 2023 году.</w:t>
      </w:r>
    </w:p>
    <w:p w:rsidR="009368E9" w:rsidRDefault="009368E9" w:rsidP="009368E9"/>
    <w:p w:rsidR="007617AF" w:rsidRPr="003E49BD" w:rsidRDefault="003E49BD" w:rsidP="003E49BD">
      <w:pPr>
        <w:ind w:firstLine="709"/>
        <w:jc w:val="center"/>
        <w:rPr>
          <w:b/>
          <w:sz w:val="28"/>
          <w:szCs w:val="28"/>
        </w:rPr>
      </w:pPr>
      <w:r w:rsidRPr="003E49BD">
        <w:rPr>
          <w:b/>
          <w:sz w:val="28"/>
          <w:szCs w:val="28"/>
        </w:rPr>
        <w:t xml:space="preserve">3. </w:t>
      </w:r>
      <w:r w:rsidR="007617AF" w:rsidRPr="003E49BD">
        <w:rPr>
          <w:b/>
          <w:sz w:val="28"/>
          <w:szCs w:val="28"/>
        </w:rPr>
        <w:t>Сельское хозяйство</w:t>
      </w:r>
    </w:p>
    <w:p w:rsidR="007617AF" w:rsidRPr="003E49BD" w:rsidRDefault="007617AF" w:rsidP="003E49BD">
      <w:pPr>
        <w:ind w:firstLine="709"/>
        <w:jc w:val="center"/>
        <w:rPr>
          <w:b/>
          <w:color w:val="FF0000"/>
          <w:sz w:val="28"/>
          <w:szCs w:val="28"/>
        </w:rPr>
      </w:pPr>
    </w:p>
    <w:p w:rsidR="005E3902" w:rsidRPr="004C523C" w:rsidRDefault="005E3902" w:rsidP="005E3902">
      <w:pPr>
        <w:jc w:val="both"/>
        <w:rPr>
          <w:sz w:val="28"/>
          <w:szCs w:val="28"/>
        </w:rPr>
      </w:pPr>
      <w:r w:rsidRPr="004C523C">
        <w:rPr>
          <w:sz w:val="28"/>
          <w:szCs w:val="28"/>
        </w:rPr>
        <w:t xml:space="preserve">        В 2019 году хозяйствами всех категорий произведено сельскохозяйственной продукции на сумму 6219</w:t>
      </w:r>
      <w:r>
        <w:rPr>
          <w:sz w:val="28"/>
          <w:szCs w:val="28"/>
        </w:rPr>
        <w:t>,</w:t>
      </w:r>
      <w:r w:rsidRPr="004C523C">
        <w:rPr>
          <w:sz w:val="28"/>
          <w:szCs w:val="28"/>
        </w:rPr>
        <w:t xml:space="preserve">8 </w:t>
      </w:r>
      <w:proofErr w:type="spellStart"/>
      <w:r w:rsidRPr="004C523C">
        <w:rPr>
          <w:sz w:val="28"/>
          <w:szCs w:val="28"/>
        </w:rPr>
        <w:t>млн</w:t>
      </w:r>
      <w:proofErr w:type="gramStart"/>
      <w:r w:rsidRPr="004C523C">
        <w:rPr>
          <w:sz w:val="28"/>
          <w:szCs w:val="28"/>
        </w:rPr>
        <w:t>.р</w:t>
      </w:r>
      <w:proofErr w:type="gramEnd"/>
      <w:r w:rsidRPr="004C523C">
        <w:rPr>
          <w:sz w:val="28"/>
          <w:szCs w:val="28"/>
        </w:rPr>
        <w:t>уб</w:t>
      </w:r>
      <w:proofErr w:type="spellEnd"/>
      <w:r w:rsidRPr="004C523C">
        <w:rPr>
          <w:sz w:val="28"/>
          <w:szCs w:val="28"/>
        </w:rPr>
        <w:t>., рост по сравнению с уровнем прошлого года составил 104,6%.</w:t>
      </w:r>
    </w:p>
    <w:p w:rsidR="005E3902" w:rsidRDefault="005E3902" w:rsidP="005E3902">
      <w:pPr>
        <w:jc w:val="both"/>
        <w:rPr>
          <w:rFonts w:eastAsia="Calibri"/>
          <w:sz w:val="28"/>
          <w:szCs w:val="28"/>
          <w:lang w:eastAsia="en-US"/>
        </w:rPr>
      </w:pPr>
      <w:r>
        <w:rPr>
          <w:rFonts w:eastAsia="Calibri"/>
          <w:sz w:val="28"/>
          <w:szCs w:val="28"/>
          <w:lang w:eastAsia="en-US"/>
        </w:rPr>
        <w:t xml:space="preserve">         Было посеяно 18340 га, из них 11800 га составила зерновая группа.</w:t>
      </w:r>
    </w:p>
    <w:p w:rsidR="005E3902" w:rsidRDefault="005E3902" w:rsidP="005E3902">
      <w:pPr>
        <w:jc w:val="both"/>
        <w:rPr>
          <w:rFonts w:eastAsia="Calibri"/>
          <w:sz w:val="28"/>
          <w:szCs w:val="28"/>
          <w:lang w:eastAsia="en-US"/>
        </w:rPr>
      </w:pPr>
      <w:r>
        <w:rPr>
          <w:rFonts w:eastAsia="Calibri"/>
          <w:sz w:val="28"/>
          <w:szCs w:val="28"/>
          <w:lang w:eastAsia="en-US"/>
        </w:rPr>
        <w:t xml:space="preserve">         Валовой сбор зерна составил 86540 тонн. Урожайность зерна составила 34,4  ц / га при средней урожайности по области  25,9 ц/га. Каждая четвертая  тонна зерна - это зерно, произведенное в районе.</w:t>
      </w:r>
    </w:p>
    <w:p w:rsidR="005E3902" w:rsidRDefault="005E3902" w:rsidP="005E3902">
      <w:pPr>
        <w:jc w:val="both"/>
        <w:rPr>
          <w:rFonts w:eastAsia="Calibri"/>
          <w:sz w:val="28"/>
          <w:szCs w:val="28"/>
          <w:lang w:eastAsia="en-US"/>
        </w:rPr>
      </w:pPr>
      <w:r>
        <w:rPr>
          <w:rFonts w:eastAsia="Calibri"/>
          <w:sz w:val="28"/>
          <w:szCs w:val="28"/>
          <w:lang w:eastAsia="en-US"/>
        </w:rPr>
        <w:t xml:space="preserve">          Наибольших успехов в растениеводстве ежегодно добиваются такие сельскохозяйственные предприятия, как  ЗАО «Тропарево» (валовое производство зерна 74642 т при урожайности 37 ц/га);  СПК «Дружба» (валовое производство зерна 5224 т  при урожайности 41,8 ц/га). В 2019 году в регионе и за его пределы реализовано 2159 тонн семян высоких посевных качеств.    Более 20 ц\га намолотили следующие хозяйства: ИП глава КФХ </w:t>
      </w:r>
      <w:proofErr w:type="spellStart"/>
      <w:r>
        <w:rPr>
          <w:rFonts w:eastAsia="Calibri"/>
          <w:sz w:val="28"/>
          <w:szCs w:val="28"/>
          <w:lang w:eastAsia="en-US"/>
        </w:rPr>
        <w:t>Шкундина</w:t>
      </w:r>
      <w:proofErr w:type="spellEnd"/>
      <w:r>
        <w:rPr>
          <w:rFonts w:eastAsia="Calibri"/>
          <w:sz w:val="28"/>
          <w:szCs w:val="28"/>
          <w:lang w:eastAsia="en-US"/>
        </w:rPr>
        <w:t xml:space="preserve"> Ю.Н. (22,6); ИП глава КФХ Самусев Е.П.(20,9); СПК </w:t>
      </w:r>
      <w:proofErr w:type="spellStart"/>
      <w:r>
        <w:rPr>
          <w:rFonts w:eastAsia="Calibri"/>
          <w:sz w:val="28"/>
          <w:szCs w:val="28"/>
          <w:lang w:eastAsia="en-US"/>
        </w:rPr>
        <w:t>Клемятино</w:t>
      </w:r>
      <w:proofErr w:type="spellEnd"/>
      <w:r>
        <w:rPr>
          <w:rFonts w:eastAsia="Calibri"/>
          <w:sz w:val="28"/>
          <w:szCs w:val="28"/>
          <w:lang w:eastAsia="en-US"/>
        </w:rPr>
        <w:t xml:space="preserve"> (20,8).</w:t>
      </w:r>
    </w:p>
    <w:p w:rsidR="005E3902" w:rsidRDefault="005E3902" w:rsidP="005E3902">
      <w:pPr>
        <w:jc w:val="both"/>
        <w:rPr>
          <w:sz w:val="28"/>
          <w:szCs w:val="28"/>
        </w:rPr>
      </w:pPr>
      <w:r>
        <w:rPr>
          <w:sz w:val="28"/>
          <w:szCs w:val="28"/>
        </w:rPr>
        <w:t xml:space="preserve">        В отрасли животноводства поголовье  крупного рогатого скота во всех категориях хозяйств составляет 15033 голов, плюс 3382 головы к уровню 2018 года. Поголовье свиней 210114 голов, плюс 12565 голов к уровню 2018 года.</w:t>
      </w:r>
    </w:p>
    <w:p w:rsidR="005E3902" w:rsidRDefault="005E3902" w:rsidP="005E3902">
      <w:pPr>
        <w:jc w:val="both"/>
        <w:rPr>
          <w:sz w:val="28"/>
          <w:szCs w:val="28"/>
        </w:rPr>
      </w:pPr>
      <w:r>
        <w:rPr>
          <w:sz w:val="28"/>
          <w:szCs w:val="28"/>
        </w:rPr>
        <w:t xml:space="preserve">        Валовое производство молока в  2019 году уменьшилось на 411 тонны и составило 8591 тонну, при этом удой  на 1 фуражную корову по хозяйствам района составил  4133 килограмма, что на 106 килограмм выше уровня прошлого года. </w:t>
      </w:r>
    </w:p>
    <w:p w:rsidR="005E3902" w:rsidRDefault="005E3902" w:rsidP="005E3902">
      <w:pPr>
        <w:jc w:val="both"/>
        <w:rPr>
          <w:sz w:val="28"/>
          <w:szCs w:val="28"/>
        </w:rPr>
      </w:pPr>
      <w:r>
        <w:rPr>
          <w:sz w:val="28"/>
          <w:szCs w:val="28"/>
        </w:rPr>
        <w:t xml:space="preserve">         Самые высокие показатели по надою молока в  СПК «Дружба» (валовой надой  3582 т,  на 1 фуражную корову- 55863 кг), СПК «</w:t>
      </w:r>
      <w:proofErr w:type="spellStart"/>
      <w:r>
        <w:rPr>
          <w:sz w:val="28"/>
          <w:szCs w:val="28"/>
        </w:rPr>
        <w:t>Клемятино</w:t>
      </w:r>
      <w:proofErr w:type="spellEnd"/>
      <w:r>
        <w:rPr>
          <w:sz w:val="28"/>
          <w:szCs w:val="28"/>
        </w:rPr>
        <w:t>» (валовой надой 1130 т, на фуражную корову – 4576 кг), ОАО «Васьково» (валовой надой 1026 т, на фуражную корову – 3419 кг).</w:t>
      </w:r>
    </w:p>
    <w:p w:rsidR="005E3902" w:rsidRDefault="005E3902" w:rsidP="005E3902">
      <w:pPr>
        <w:jc w:val="both"/>
        <w:rPr>
          <w:sz w:val="28"/>
          <w:szCs w:val="28"/>
        </w:rPr>
      </w:pPr>
      <w:r>
        <w:rPr>
          <w:sz w:val="28"/>
          <w:szCs w:val="28"/>
        </w:rPr>
        <w:t xml:space="preserve">         Производство на убой в живом весе скота и птицы по району в 2019 году составило 42408 тонн, что на 242 тонны выше уровня 2019 года. ООО «Смоленское поле» 32842 тонн, ООО «Славянский продукт» 8447 тонн мяса свиней, СПК «Дружба» 193 тонн мяса крупного рогатого скота.     </w:t>
      </w:r>
    </w:p>
    <w:p w:rsidR="005E3902" w:rsidRDefault="005E3902" w:rsidP="005E3902">
      <w:pPr>
        <w:jc w:val="both"/>
        <w:rPr>
          <w:sz w:val="28"/>
          <w:szCs w:val="28"/>
        </w:rPr>
      </w:pPr>
      <w:r>
        <w:rPr>
          <w:sz w:val="28"/>
          <w:szCs w:val="28"/>
        </w:rPr>
        <w:t xml:space="preserve">        В отчетном году объем реализации составляет 6,2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Финансовый результат – 15,2 </w:t>
      </w:r>
      <w:proofErr w:type="spellStart"/>
      <w:r>
        <w:rPr>
          <w:sz w:val="28"/>
          <w:szCs w:val="28"/>
        </w:rPr>
        <w:t>млн.руб</w:t>
      </w:r>
      <w:proofErr w:type="spellEnd"/>
      <w:r>
        <w:rPr>
          <w:sz w:val="28"/>
          <w:szCs w:val="28"/>
        </w:rPr>
        <w:t xml:space="preserve">. Наивысший результат получен в ООО «Смоленское поле»- выручка от реализации  2927 </w:t>
      </w:r>
      <w:proofErr w:type="spellStart"/>
      <w:r>
        <w:rPr>
          <w:sz w:val="28"/>
          <w:szCs w:val="28"/>
        </w:rPr>
        <w:t>млн.руб</w:t>
      </w:r>
      <w:proofErr w:type="spellEnd"/>
      <w:r>
        <w:rPr>
          <w:sz w:val="28"/>
          <w:szCs w:val="28"/>
        </w:rPr>
        <w:t xml:space="preserve">.,; ООО «Славянский продукт» - выручка от реализации 769,4 </w:t>
      </w:r>
      <w:proofErr w:type="spellStart"/>
      <w:r>
        <w:rPr>
          <w:sz w:val="28"/>
          <w:szCs w:val="28"/>
        </w:rPr>
        <w:t>млн.руб</w:t>
      </w:r>
      <w:proofErr w:type="spellEnd"/>
      <w:r>
        <w:rPr>
          <w:sz w:val="28"/>
          <w:szCs w:val="28"/>
        </w:rPr>
        <w:t xml:space="preserve">., СПК «Дружба» - выручка от реализации 153,2 </w:t>
      </w:r>
      <w:proofErr w:type="spellStart"/>
      <w:r>
        <w:rPr>
          <w:sz w:val="28"/>
          <w:szCs w:val="28"/>
        </w:rPr>
        <w:t>млн.руб</w:t>
      </w:r>
      <w:proofErr w:type="spellEnd"/>
      <w:r>
        <w:rPr>
          <w:sz w:val="28"/>
          <w:szCs w:val="28"/>
        </w:rPr>
        <w:t>.</w:t>
      </w:r>
    </w:p>
    <w:p w:rsidR="005E3902" w:rsidRDefault="005E3902" w:rsidP="005E3902">
      <w:pPr>
        <w:jc w:val="both"/>
        <w:rPr>
          <w:sz w:val="28"/>
          <w:szCs w:val="28"/>
        </w:rPr>
      </w:pPr>
      <w:r>
        <w:rPr>
          <w:rFonts w:eastAsia="Calibri"/>
          <w:sz w:val="28"/>
          <w:szCs w:val="28"/>
          <w:lang w:eastAsia="en-US"/>
        </w:rPr>
        <w:t xml:space="preserve">       Достижения аграриев, динамичное и успешное развитие всего агропромышленного комплекса района напрямую связаны со значимой поддержкой, оказываемой областной и федеральной властями. </w:t>
      </w:r>
      <w:r>
        <w:rPr>
          <w:sz w:val="28"/>
          <w:szCs w:val="28"/>
        </w:rPr>
        <w:t xml:space="preserve">За счет увеличения производства продукции сельскохозяйственными предприятиями и фермерскими хозяйствами </w:t>
      </w:r>
      <w:r>
        <w:rPr>
          <w:sz w:val="28"/>
          <w:szCs w:val="28"/>
        </w:rPr>
        <w:lastRenderedPageBreak/>
        <w:t xml:space="preserve">района выделена государственная поддержка в виде субсидий на продукцию в 2019 году-119,9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что составляет 14,4 % от уровня выплат по области.  </w:t>
      </w:r>
    </w:p>
    <w:p w:rsidR="005E3902" w:rsidRDefault="005E3902" w:rsidP="005E3902">
      <w:pPr>
        <w:ind w:firstLine="709"/>
        <w:jc w:val="both"/>
        <w:rPr>
          <w:sz w:val="28"/>
          <w:szCs w:val="20"/>
        </w:rPr>
      </w:pPr>
    </w:p>
    <w:p w:rsidR="005E3902" w:rsidRDefault="005E3902" w:rsidP="005E3902">
      <w:pPr>
        <w:ind w:firstLine="709"/>
        <w:jc w:val="both"/>
        <w:rPr>
          <w:sz w:val="28"/>
          <w:szCs w:val="20"/>
        </w:rPr>
      </w:pPr>
      <w:r>
        <w:rPr>
          <w:sz w:val="28"/>
          <w:szCs w:val="20"/>
        </w:rPr>
        <w:t xml:space="preserve">По оценке в 2020 года всеми категориями хозяйств района будет произведено  сельскохозяйственной продукции на сумму 6456,24  млн. рублей, индекс производства продукции сельского хозяйства составит  100,4%.  </w:t>
      </w:r>
    </w:p>
    <w:p w:rsidR="005E3902" w:rsidRDefault="005E3902" w:rsidP="005E3902">
      <w:pPr>
        <w:ind w:firstLine="709"/>
        <w:jc w:val="both"/>
        <w:rPr>
          <w:sz w:val="28"/>
          <w:szCs w:val="20"/>
        </w:rPr>
      </w:pPr>
    </w:p>
    <w:p w:rsidR="005E3902" w:rsidRDefault="005E3902" w:rsidP="005E3902">
      <w:pPr>
        <w:ind w:firstLine="709"/>
        <w:jc w:val="both"/>
        <w:rPr>
          <w:sz w:val="28"/>
          <w:szCs w:val="20"/>
        </w:rPr>
      </w:pPr>
      <w:r w:rsidRPr="007329F9">
        <w:rPr>
          <w:noProof/>
          <w:sz w:val="28"/>
          <w:szCs w:val="28"/>
        </w:rPr>
        <w:drawing>
          <wp:inline distT="0" distB="0" distL="0" distR="0" wp14:anchorId="16AB5622" wp14:editId="461414E1">
            <wp:extent cx="5940425" cy="3441675"/>
            <wp:effectExtent l="0" t="0" r="3175" b="6985"/>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3902" w:rsidRDefault="005E3902" w:rsidP="005E3902">
      <w:pPr>
        <w:ind w:firstLine="709"/>
        <w:jc w:val="both"/>
        <w:rPr>
          <w:sz w:val="28"/>
          <w:szCs w:val="20"/>
        </w:rPr>
      </w:pPr>
    </w:p>
    <w:p w:rsidR="005E3902" w:rsidRDefault="005E3902" w:rsidP="005E3902">
      <w:pPr>
        <w:ind w:firstLine="709"/>
        <w:jc w:val="both"/>
        <w:rPr>
          <w:sz w:val="28"/>
          <w:szCs w:val="20"/>
        </w:rPr>
      </w:pPr>
      <w:r>
        <w:rPr>
          <w:sz w:val="28"/>
          <w:szCs w:val="20"/>
        </w:rPr>
        <w:t>На долю производства продукции животноводства приходится 77,7%, на долю производства продукции растениеводства – 22,3% от всей произведенной сельскохозяйственной продукции. В прогнозируемом периоде данная структура сохранится.</w:t>
      </w:r>
    </w:p>
    <w:p w:rsidR="005E3902" w:rsidRDefault="005E3902" w:rsidP="005E3902">
      <w:pPr>
        <w:ind w:firstLine="709"/>
        <w:jc w:val="both"/>
        <w:rPr>
          <w:sz w:val="28"/>
          <w:szCs w:val="20"/>
        </w:rPr>
      </w:pPr>
      <w:r>
        <w:rPr>
          <w:noProof/>
          <w:sz w:val="28"/>
          <w:szCs w:val="20"/>
        </w:rPr>
        <w:drawing>
          <wp:inline distT="0" distB="0" distL="0" distR="0" wp14:anchorId="0B71D89E" wp14:editId="298FCB3D">
            <wp:extent cx="5324475" cy="28956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72E" w:rsidRDefault="0032072E" w:rsidP="005E3902">
      <w:pPr>
        <w:ind w:firstLine="709"/>
        <w:jc w:val="both"/>
        <w:rPr>
          <w:color w:val="000000" w:themeColor="text1"/>
          <w:sz w:val="28"/>
          <w:szCs w:val="28"/>
        </w:rPr>
      </w:pPr>
    </w:p>
    <w:p w:rsidR="005E3902" w:rsidRDefault="005E3902" w:rsidP="005E3902">
      <w:pPr>
        <w:ind w:firstLine="709"/>
        <w:jc w:val="both"/>
        <w:rPr>
          <w:color w:val="000000" w:themeColor="text1"/>
          <w:sz w:val="28"/>
          <w:szCs w:val="28"/>
        </w:rPr>
      </w:pPr>
      <w:r w:rsidRPr="00A53AAB">
        <w:rPr>
          <w:color w:val="000000" w:themeColor="text1"/>
          <w:sz w:val="28"/>
          <w:szCs w:val="28"/>
        </w:rPr>
        <w:lastRenderedPageBreak/>
        <w:t xml:space="preserve">Сохранение объемов  производства мяса будет обеспечено стабильной работой ЗАО «Тропарево», ООО «Смоленское поле», ООО «Славянский продукт». </w:t>
      </w:r>
    </w:p>
    <w:p w:rsidR="005E3902" w:rsidRPr="00A53AAB" w:rsidRDefault="005E3902" w:rsidP="005E3902">
      <w:pPr>
        <w:ind w:firstLine="709"/>
        <w:jc w:val="both"/>
        <w:rPr>
          <w:color w:val="000000" w:themeColor="text1"/>
          <w:sz w:val="28"/>
          <w:szCs w:val="28"/>
        </w:rPr>
      </w:pPr>
      <w:r>
        <w:rPr>
          <w:color w:val="000000" w:themeColor="text1"/>
          <w:sz w:val="28"/>
          <w:szCs w:val="28"/>
        </w:rPr>
        <w:t xml:space="preserve">В связи с сокращением поголовья коров в АО «Васьково» на 300 голов, КФХ Петросян на  25 голов, КФХ Воронцов на 10 голов в 2020 году производство молока  сократится 1026 тонн. </w:t>
      </w:r>
    </w:p>
    <w:p w:rsidR="005E3902" w:rsidRPr="00A53AAB" w:rsidRDefault="005E3902" w:rsidP="005E3902">
      <w:pPr>
        <w:ind w:firstLine="709"/>
        <w:jc w:val="both"/>
        <w:rPr>
          <w:color w:val="000000" w:themeColor="text1"/>
          <w:sz w:val="28"/>
          <w:szCs w:val="28"/>
        </w:rPr>
      </w:pPr>
      <w:r w:rsidRPr="00A53AAB">
        <w:rPr>
          <w:color w:val="000000" w:themeColor="text1"/>
          <w:sz w:val="28"/>
          <w:szCs w:val="28"/>
        </w:rPr>
        <w:t>Индекс производства продукции животноводства</w:t>
      </w:r>
      <w:r w:rsidRPr="00A53AAB">
        <w:rPr>
          <w:b/>
          <w:i/>
          <w:color w:val="000000" w:themeColor="text1"/>
          <w:sz w:val="28"/>
          <w:szCs w:val="28"/>
        </w:rPr>
        <w:t xml:space="preserve">  </w:t>
      </w:r>
      <w:r w:rsidRPr="00A53AAB">
        <w:rPr>
          <w:color w:val="000000" w:themeColor="text1"/>
          <w:sz w:val="28"/>
          <w:szCs w:val="28"/>
        </w:rPr>
        <w:t xml:space="preserve">в 2020 году оценивается на уровне </w:t>
      </w:r>
      <w:r>
        <w:rPr>
          <w:color w:val="000000" w:themeColor="text1"/>
          <w:sz w:val="28"/>
          <w:szCs w:val="28"/>
        </w:rPr>
        <w:t>100</w:t>
      </w:r>
      <w:r w:rsidRPr="00A53AAB">
        <w:rPr>
          <w:color w:val="000000" w:themeColor="text1"/>
          <w:sz w:val="28"/>
          <w:szCs w:val="28"/>
        </w:rPr>
        <w:t xml:space="preserve">%, </w:t>
      </w:r>
      <w:r>
        <w:rPr>
          <w:color w:val="000000" w:themeColor="text1"/>
          <w:sz w:val="28"/>
          <w:szCs w:val="28"/>
        </w:rPr>
        <w:t xml:space="preserve">в 2021 году – 100,1%, в 2022 году – 102%, в 2023 году – 102,2%. </w:t>
      </w:r>
    </w:p>
    <w:p w:rsidR="005E3902" w:rsidRPr="00A53AAB" w:rsidRDefault="005E3902" w:rsidP="005E3902">
      <w:pPr>
        <w:ind w:firstLine="709"/>
        <w:jc w:val="both"/>
        <w:rPr>
          <w:color w:val="000000" w:themeColor="text1"/>
          <w:sz w:val="28"/>
          <w:szCs w:val="28"/>
        </w:rPr>
      </w:pPr>
      <w:r w:rsidRPr="00A53AAB">
        <w:rPr>
          <w:color w:val="000000" w:themeColor="text1"/>
          <w:sz w:val="28"/>
          <w:szCs w:val="28"/>
        </w:rPr>
        <w:t>Индекс производства  продукции сельского хозяйства в целом оценивается следующим образом: 2020 год -</w:t>
      </w:r>
      <w:r>
        <w:rPr>
          <w:color w:val="000000" w:themeColor="text1"/>
          <w:sz w:val="28"/>
          <w:szCs w:val="28"/>
        </w:rPr>
        <w:t>100,4</w:t>
      </w:r>
      <w:r w:rsidRPr="00A53AAB">
        <w:rPr>
          <w:color w:val="000000" w:themeColor="text1"/>
          <w:sz w:val="28"/>
          <w:szCs w:val="28"/>
        </w:rPr>
        <w:t xml:space="preserve">%, </w:t>
      </w:r>
      <w:r>
        <w:rPr>
          <w:color w:val="000000" w:themeColor="text1"/>
          <w:sz w:val="28"/>
          <w:szCs w:val="28"/>
        </w:rPr>
        <w:t xml:space="preserve">в 2021 году – 100,8%, в 2022 году – 101,4%, в 2023 году – 101,4%. </w:t>
      </w:r>
    </w:p>
    <w:p w:rsidR="007C6774" w:rsidRPr="007329F9" w:rsidRDefault="007C55EA" w:rsidP="007329F9">
      <w:pPr>
        <w:ind w:firstLine="709"/>
        <w:jc w:val="both"/>
        <w:rPr>
          <w:sz w:val="28"/>
          <w:szCs w:val="28"/>
        </w:rPr>
      </w:pPr>
      <w:r w:rsidRPr="007329F9">
        <w:rPr>
          <w:sz w:val="28"/>
          <w:szCs w:val="28"/>
        </w:rPr>
        <w:t xml:space="preserve">         </w:t>
      </w:r>
      <w:r w:rsidR="007C6774" w:rsidRPr="007329F9">
        <w:rPr>
          <w:sz w:val="28"/>
          <w:szCs w:val="28"/>
        </w:rPr>
        <w:t xml:space="preserve">              </w:t>
      </w:r>
    </w:p>
    <w:p w:rsidR="00977FF5" w:rsidRDefault="00977FF5" w:rsidP="00977FF5">
      <w:pPr>
        <w:ind w:firstLine="709"/>
        <w:jc w:val="center"/>
        <w:rPr>
          <w:b/>
          <w:sz w:val="28"/>
          <w:szCs w:val="28"/>
        </w:rPr>
      </w:pPr>
      <w:r>
        <w:rPr>
          <w:b/>
          <w:sz w:val="28"/>
          <w:szCs w:val="28"/>
        </w:rPr>
        <w:t>4. Потребительский рынок</w:t>
      </w:r>
    </w:p>
    <w:p w:rsidR="0032072E" w:rsidRDefault="0032072E" w:rsidP="00977FF5">
      <w:pPr>
        <w:ind w:firstLine="709"/>
        <w:jc w:val="center"/>
        <w:rPr>
          <w:b/>
          <w:sz w:val="28"/>
          <w:szCs w:val="28"/>
        </w:rPr>
      </w:pPr>
    </w:p>
    <w:p w:rsidR="001E7352" w:rsidRDefault="001E7352" w:rsidP="001E7352">
      <w:pPr>
        <w:shd w:val="clear" w:color="auto" w:fill="FFFFFF"/>
        <w:ind w:firstLine="720"/>
        <w:jc w:val="both"/>
        <w:rPr>
          <w:rStyle w:val="af3"/>
        </w:rPr>
      </w:pPr>
      <w:r w:rsidRPr="00961096">
        <w:rPr>
          <w:rFonts w:eastAsia="Calibri"/>
          <w:b/>
          <w:sz w:val="28"/>
          <w:szCs w:val="28"/>
          <w:lang w:eastAsia="en-US"/>
        </w:rPr>
        <w:t xml:space="preserve">         </w:t>
      </w:r>
      <w:r>
        <w:rPr>
          <w:sz w:val="28"/>
          <w:szCs w:val="28"/>
          <w:shd w:val="clear" w:color="auto" w:fill="FFFFFF"/>
        </w:rPr>
        <w:t xml:space="preserve">Сфера потребительского рынка определяет не только динамику </w:t>
      </w:r>
      <w:proofErr w:type="spellStart"/>
      <w:r>
        <w:rPr>
          <w:sz w:val="28"/>
          <w:szCs w:val="28"/>
          <w:shd w:val="clear" w:color="auto" w:fill="FFFFFF"/>
        </w:rPr>
        <w:t>товарно</w:t>
      </w:r>
      <w:proofErr w:type="spellEnd"/>
      <w:r>
        <w:rPr>
          <w:sz w:val="28"/>
          <w:szCs w:val="28"/>
          <w:shd w:val="clear" w:color="auto" w:fill="FFFFFF"/>
        </w:rPr>
        <w:t xml:space="preserve"> - денежных отношений населения на рынке товаров и услуг, но и отражает социально-экономическое состояние района в целом.</w:t>
      </w:r>
      <w:r>
        <w:rPr>
          <w:rStyle w:val="af3"/>
        </w:rPr>
        <w:t> </w:t>
      </w:r>
    </w:p>
    <w:p w:rsidR="001E7352" w:rsidRPr="0032072E" w:rsidRDefault="001E7352" w:rsidP="001E7352">
      <w:pPr>
        <w:shd w:val="clear" w:color="auto" w:fill="FFFFFF"/>
        <w:ind w:firstLine="720"/>
        <w:jc w:val="both"/>
        <w:rPr>
          <w:rStyle w:val="af3"/>
          <w:sz w:val="28"/>
          <w:szCs w:val="28"/>
        </w:rPr>
      </w:pPr>
      <w:r w:rsidRPr="0032072E">
        <w:rPr>
          <w:rStyle w:val="af3"/>
          <w:b w:val="0"/>
          <w:sz w:val="28"/>
          <w:szCs w:val="28"/>
        </w:rPr>
        <w:t>Потребительский рынок представлен розничной торговлей, общественным питанием и различными видами платных услуг, предоставляемых населению</w:t>
      </w:r>
      <w:r w:rsidRPr="0032072E">
        <w:rPr>
          <w:rStyle w:val="af3"/>
          <w:sz w:val="28"/>
          <w:szCs w:val="28"/>
        </w:rPr>
        <w:t>.</w:t>
      </w:r>
    </w:p>
    <w:p w:rsidR="001E7352" w:rsidRDefault="001E7352" w:rsidP="001E7352">
      <w:pPr>
        <w:ind w:firstLine="709"/>
        <w:jc w:val="both"/>
      </w:pPr>
      <w:r>
        <w:rPr>
          <w:sz w:val="28"/>
          <w:szCs w:val="28"/>
        </w:rPr>
        <w:t>Оборот  розничной торговли  за 2019 год составил 1295,1 млн. руб., к уровню прошлого года 104,3%.</w:t>
      </w:r>
    </w:p>
    <w:p w:rsidR="001E7352" w:rsidRDefault="001E7352" w:rsidP="001E7352">
      <w:pPr>
        <w:ind w:firstLine="709"/>
        <w:jc w:val="both"/>
        <w:rPr>
          <w:sz w:val="28"/>
          <w:szCs w:val="28"/>
        </w:rPr>
      </w:pPr>
      <w:r>
        <w:rPr>
          <w:sz w:val="28"/>
          <w:szCs w:val="28"/>
        </w:rPr>
        <w:t>Оборот общественного питания за 2019 год составил 43,9 млн. руб. или 87,0% к прошлому году.</w:t>
      </w:r>
    </w:p>
    <w:p w:rsidR="001E7352" w:rsidRDefault="001E7352" w:rsidP="001E7352">
      <w:pPr>
        <w:ind w:firstLine="709"/>
        <w:jc w:val="both"/>
        <w:rPr>
          <w:sz w:val="28"/>
          <w:szCs w:val="28"/>
        </w:rPr>
      </w:pPr>
      <w:r>
        <w:rPr>
          <w:sz w:val="28"/>
          <w:szCs w:val="28"/>
        </w:rPr>
        <w:t>Населению района в 2019 году оказано платных услуг на сумму 54,3 млн. рублей или 128,3% к уровню прошлого года.</w:t>
      </w:r>
    </w:p>
    <w:p w:rsidR="001E7352" w:rsidRDefault="001E7352" w:rsidP="001E7352">
      <w:pPr>
        <w:ind w:firstLine="709"/>
        <w:jc w:val="both"/>
        <w:rPr>
          <w:sz w:val="28"/>
          <w:szCs w:val="28"/>
        </w:rPr>
      </w:pPr>
      <w:r>
        <w:rPr>
          <w:sz w:val="28"/>
          <w:szCs w:val="28"/>
          <w:shd w:val="clear" w:color="auto" w:fill="FFFFFF"/>
        </w:rPr>
        <w:t>В  районе насчитывается 380 предприятий потребительского рынка и услуг, из них: 278 розничной торговли (в т. ч. 207 объектов стационарной торговли и 71 объект нестационарной торговли), 53 предприятия общественного питания, с</w:t>
      </w:r>
      <w:r>
        <w:rPr>
          <w:sz w:val="28"/>
          <w:szCs w:val="28"/>
        </w:rPr>
        <w:t xml:space="preserve"> </w:t>
      </w:r>
      <w:r>
        <w:rPr>
          <w:sz w:val="28"/>
          <w:szCs w:val="28"/>
          <w:shd w:val="clear" w:color="auto" w:fill="FFFFFF"/>
        </w:rPr>
        <w:t>общим количеством посадочных мест 2441 единица и 49 предприятий бытового обслуживания.</w:t>
      </w:r>
    </w:p>
    <w:p w:rsidR="001E7352" w:rsidRDefault="001E7352" w:rsidP="001E7352">
      <w:pPr>
        <w:tabs>
          <w:tab w:val="left" w:pos="851"/>
        </w:tabs>
        <w:jc w:val="both"/>
        <w:rPr>
          <w:sz w:val="28"/>
          <w:szCs w:val="28"/>
        </w:rPr>
      </w:pPr>
      <w:r>
        <w:rPr>
          <w:sz w:val="28"/>
          <w:szCs w:val="28"/>
        </w:rPr>
        <w:t xml:space="preserve">          Общая площадь торговых объектов района по состоянию на 1 января 2020г. составила  17822,2</w:t>
      </w:r>
      <w:r>
        <w:rPr>
          <w:b/>
          <w:sz w:val="28"/>
          <w:szCs w:val="28"/>
        </w:rPr>
        <w:t xml:space="preserve"> </w:t>
      </w:r>
      <w:r>
        <w:rPr>
          <w:sz w:val="28"/>
          <w:szCs w:val="28"/>
        </w:rPr>
        <w:t xml:space="preserve">кв. м., площадь торговых объектов уменьшилась по сравнению с прошлым годом на 0,4%.  </w:t>
      </w:r>
    </w:p>
    <w:p w:rsidR="001E7352" w:rsidRDefault="001E7352" w:rsidP="001E7352">
      <w:pPr>
        <w:tabs>
          <w:tab w:val="left" w:pos="851"/>
        </w:tabs>
        <w:ind w:firstLine="709"/>
        <w:jc w:val="both"/>
        <w:rPr>
          <w:sz w:val="28"/>
          <w:szCs w:val="28"/>
        </w:rPr>
      </w:pPr>
      <w:r>
        <w:rPr>
          <w:sz w:val="28"/>
          <w:szCs w:val="28"/>
        </w:rPr>
        <w:t>В 2019 году было открыто 11 новых торговых точек розничной торговли, общей площадью 425 кв. м. и 2 точки предприятий общественного питания общей площадью 216,2 кв. м.</w:t>
      </w:r>
    </w:p>
    <w:p w:rsidR="001E7352" w:rsidRDefault="001E7352" w:rsidP="001E7352">
      <w:pPr>
        <w:tabs>
          <w:tab w:val="left" w:pos="851"/>
        </w:tabs>
        <w:jc w:val="both"/>
        <w:rPr>
          <w:sz w:val="28"/>
          <w:szCs w:val="28"/>
        </w:rPr>
      </w:pPr>
      <w:r>
        <w:rPr>
          <w:sz w:val="28"/>
          <w:szCs w:val="28"/>
        </w:rPr>
        <w:t xml:space="preserve">           Наибольшее развитие в районе получили сетевые магазины:  «Пятерочка» (6 магазинов), «Магнит» (4 магазина) и «</w:t>
      </w:r>
      <w:proofErr w:type="spellStart"/>
      <w:r>
        <w:rPr>
          <w:sz w:val="28"/>
          <w:szCs w:val="28"/>
        </w:rPr>
        <w:t>Дикси</w:t>
      </w:r>
      <w:proofErr w:type="spellEnd"/>
      <w:r>
        <w:rPr>
          <w:sz w:val="28"/>
          <w:szCs w:val="28"/>
        </w:rPr>
        <w:t>» (2 магазина).</w:t>
      </w:r>
    </w:p>
    <w:p w:rsidR="001E7352" w:rsidRDefault="001E7352" w:rsidP="001E7352">
      <w:pPr>
        <w:pStyle w:val="1"/>
        <w:ind w:firstLine="709"/>
        <w:jc w:val="both"/>
        <w:rPr>
          <w:rFonts w:ascii="Times New Roman" w:hAnsi="Times New Roman"/>
          <w:b w:val="0"/>
          <w:sz w:val="28"/>
          <w:szCs w:val="28"/>
          <w:lang w:val="ru-RU"/>
        </w:rPr>
      </w:pPr>
      <w:r>
        <w:rPr>
          <w:rFonts w:ascii="Times New Roman" w:hAnsi="Times New Roman"/>
          <w:b w:val="0"/>
          <w:sz w:val="28"/>
          <w:szCs w:val="28"/>
        </w:rPr>
        <w:t xml:space="preserve">   На перспективу  20</w:t>
      </w:r>
      <w:r>
        <w:rPr>
          <w:rFonts w:ascii="Times New Roman" w:hAnsi="Times New Roman"/>
          <w:b w:val="0"/>
          <w:sz w:val="28"/>
          <w:szCs w:val="28"/>
          <w:lang w:val="ru-RU"/>
        </w:rPr>
        <w:t>20</w:t>
      </w:r>
      <w:r>
        <w:rPr>
          <w:rFonts w:ascii="Times New Roman" w:hAnsi="Times New Roman"/>
          <w:b w:val="0"/>
          <w:sz w:val="28"/>
          <w:szCs w:val="28"/>
        </w:rPr>
        <w:t xml:space="preserve"> и до 20</w:t>
      </w:r>
      <w:r>
        <w:rPr>
          <w:rFonts w:ascii="Times New Roman" w:hAnsi="Times New Roman"/>
          <w:b w:val="0"/>
          <w:sz w:val="28"/>
          <w:szCs w:val="28"/>
          <w:lang w:val="ru-RU"/>
        </w:rPr>
        <w:t>23</w:t>
      </w:r>
      <w:r>
        <w:rPr>
          <w:rFonts w:ascii="Times New Roman" w:hAnsi="Times New Roman"/>
          <w:b w:val="0"/>
          <w:sz w:val="28"/>
          <w:szCs w:val="28"/>
        </w:rPr>
        <w:t xml:space="preserve"> года  планируется рост </w:t>
      </w:r>
      <w:r>
        <w:rPr>
          <w:rFonts w:ascii="Times New Roman" w:hAnsi="Times New Roman"/>
          <w:b w:val="0"/>
          <w:sz w:val="28"/>
          <w:szCs w:val="28"/>
          <w:lang w:val="ru-RU"/>
        </w:rPr>
        <w:t xml:space="preserve">розничного </w:t>
      </w:r>
      <w:r>
        <w:rPr>
          <w:rFonts w:ascii="Times New Roman" w:hAnsi="Times New Roman"/>
          <w:b w:val="0"/>
          <w:sz w:val="28"/>
          <w:szCs w:val="28"/>
        </w:rPr>
        <w:t>товарооборота предприятий торговли в связи с развитием потребительского рынка за счет расширения сети магазинов и  нестационарных торговых объектов при индексах дефляторах, отражающих  рост  цен на продовольственные и промышленные товары</w:t>
      </w:r>
      <w:r>
        <w:rPr>
          <w:rFonts w:ascii="Times New Roman" w:hAnsi="Times New Roman"/>
          <w:b w:val="0"/>
          <w:sz w:val="28"/>
          <w:szCs w:val="28"/>
          <w:lang w:val="ru-RU"/>
        </w:rPr>
        <w:t xml:space="preserve">. </w:t>
      </w:r>
    </w:p>
    <w:p w:rsidR="001E7352" w:rsidRDefault="001E7352" w:rsidP="001E7352">
      <w:pPr>
        <w:pStyle w:val="1"/>
        <w:ind w:firstLine="709"/>
        <w:jc w:val="both"/>
        <w:rPr>
          <w:rFonts w:ascii="Times New Roman" w:hAnsi="Times New Roman"/>
          <w:b w:val="0"/>
          <w:sz w:val="28"/>
          <w:szCs w:val="28"/>
          <w:lang w:val="ru-RU"/>
        </w:rPr>
      </w:pPr>
      <w:r>
        <w:rPr>
          <w:rFonts w:ascii="Times New Roman" w:hAnsi="Times New Roman"/>
          <w:b w:val="0"/>
          <w:sz w:val="28"/>
          <w:szCs w:val="28"/>
          <w:lang w:val="ru-RU"/>
        </w:rPr>
        <w:t xml:space="preserve">В текущем году ведется  строительство одного  магазина в сельской местности и строительство магазина в г. Починке, а также установка одного нестационарного объекта в г. Починке. </w:t>
      </w:r>
    </w:p>
    <w:p w:rsidR="00C444EF" w:rsidRPr="007329F9" w:rsidRDefault="00C444EF" w:rsidP="007329F9">
      <w:pPr>
        <w:ind w:firstLine="709"/>
        <w:jc w:val="both"/>
        <w:rPr>
          <w:sz w:val="28"/>
          <w:szCs w:val="28"/>
        </w:rPr>
      </w:pPr>
    </w:p>
    <w:p w:rsidR="000F2E6D" w:rsidRDefault="000F2E6D" w:rsidP="000F2E6D">
      <w:pPr>
        <w:ind w:firstLine="709"/>
        <w:jc w:val="center"/>
        <w:rPr>
          <w:b/>
          <w:sz w:val="28"/>
          <w:szCs w:val="28"/>
        </w:rPr>
      </w:pPr>
      <w:r>
        <w:rPr>
          <w:b/>
          <w:sz w:val="28"/>
          <w:szCs w:val="28"/>
        </w:rPr>
        <w:lastRenderedPageBreak/>
        <w:t>5. Малое предпринимательство</w:t>
      </w:r>
    </w:p>
    <w:p w:rsidR="000F2E6D" w:rsidRDefault="000F2E6D" w:rsidP="000F2E6D">
      <w:pPr>
        <w:ind w:firstLine="709"/>
        <w:jc w:val="center"/>
        <w:rPr>
          <w:b/>
          <w:sz w:val="28"/>
          <w:szCs w:val="28"/>
        </w:rPr>
      </w:pPr>
    </w:p>
    <w:p w:rsidR="0032072E" w:rsidRDefault="0032072E" w:rsidP="0032072E">
      <w:pPr>
        <w:jc w:val="both"/>
        <w:rPr>
          <w:sz w:val="28"/>
          <w:szCs w:val="28"/>
        </w:rPr>
      </w:pPr>
      <w:r>
        <w:rPr>
          <w:sz w:val="28"/>
          <w:szCs w:val="28"/>
        </w:rPr>
        <w:t xml:space="preserve">            Прогноз развития малого и среднего предпринимательства на период 2020-2023 годы рассчитан на основании  оценки развития малого и среднего предпринимательства в 2019 году, анализа статистических данных, индексов-дефляторов  с учетом   тенденции и перспектив развития бизнеса на территории Починковского района.   </w:t>
      </w:r>
    </w:p>
    <w:p w:rsidR="0032072E" w:rsidRDefault="0032072E" w:rsidP="0032072E">
      <w:pPr>
        <w:ind w:firstLine="851"/>
        <w:jc w:val="both"/>
        <w:rPr>
          <w:sz w:val="28"/>
          <w:szCs w:val="28"/>
        </w:rPr>
      </w:pPr>
      <w:r>
        <w:rPr>
          <w:sz w:val="28"/>
          <w:szCs w:val="28"/>
        </w:rPr>
        <w:t xml:space="preserve"> На начало 2020</w:t>
      </w:r>
      <w:r w:rsidRPr="00A82A50">
        <w:rPr>
          <w:sz w:val="28"/>
          <w:szCs w:val="28"/>
        </w:rPr>
        <w:t xml:space="preserve"> года на территории муниципального образования «Починковский район» Смоленской области  свою деятельность осуществляли </w:t>
      </w:r>
      <w:r>
        <w:rPr>
          <w:sz w:val="28"/>
          <w:szCs w:val="28"/>
        </w:rPr>
        <w:t>729</w:t>
      </w:r>
      <w:r w:rsidRPr="00A82A50">
        <w:rPr>
          <w:sz w:val="28"/>
          <w:szCs w:val="28"/>
        </w:rPr>
        <w:t xml:space="preserve">  субъектов  малого</w:t>
      </w:r>
      <w:r>
        <w:rPr>
          <w:sz w:val="28"/>
          <w:szCs w:val="28"/>
        </w:rPr>
        <w:t xml:space="preserve"> и среднего предпринимательства, из них  юридических лиц - 136, индивидуальных предпринимателей - 593.</w:t>
      </w:r>
    </w:p>
    <w:p w:rsidR="0032072E" w:rsidRDefault="0032072E" w:rsidP="0032072E">
      <w:pPr>
        <w:ind w:firstLine="851"/>
        <w:jc w:val="both"/>
        <w:rPr>
          <w:sz w:val="28"/>
          <w:szCs w:val="28"/>
        </w:rPr>
      </w:pPr>
      <w:r w:rsidRPr="00A82A50">
        <w:rPr>
          <w:sz w:val="28"/>
          <w:szCs w:val="28"/>
        </w:rPr>
        <w:t xml:space="preserve"> </w:t>
      </w:r>
      <w:r>
        <w:rPr>
          <w:sz w:val="28"/>
          <w:szCs w:val="28"/>
        </w:rPr>
        <w:t xml:space="preserve">По состоянию на 01.07.2020 года число субъектов увеличилось по сравнению с показателем на начало года на 13 единиц и составило 744. В 1-ом полугодии свою деятельность осуществляли 595 индивидуальных предпринимателей и 149 юридических лиц. </w:t>
      </w:r>
    </w:p>
    <w:p w:rsidR="0032072E" w:rsidRPr="00A82A50" w:rsidRDefault="0032072E" w:rsidP="0032072E">
      <w:pPr>
        <w:ind w:firstLine="851"/>
        <w:jc w:val="both"/>
        <w:rPr>
          <w:sz w:val="28"/>
          <w:szCs w:val="28"/>
        </w:rPr>
      </w:pPr>
      <w:r>
        <w:rPr>
          <w:sz w:val="28"/>
          <w:szCs w:val="28"/>
        </w:rPr>
        <w:t>За истекший период текущего года на территории района зарегистрировано 11 новых  малых предприятий.</w:t>
      </w:r>
    </w:p>
    <w:p w:rsidR="0032072E" w:rsidRDefault="0032072E" w:rsidP="0032072E">
      <w:pPr>
        <w:jc w:val="both"/>
        <w:rPr>
          <w:sz w:val="28"/>
          <w:szCs w:val="28"/>
        </w:rPr>
      </w:pPr>
      <w:r>
        <w:rPr>
          <w:sz w:val="28"/>
          <w:szCs w:val="28"/>
        </w:rPr>
        <w:t xml:space="preserve">       Основную долю в структуре предпринимательства занимает  оптовая и розничная торговля – 30%, охота и лесное хозяйство – 12,1%, промышленность – 8,7%.</w:t>
      </w:r>
    </w:p>
    <w:p w:rsidR="0032072E" w:rsidRDefault="0032072E" w:rsidP="0032072E">
      <w:pPr>
        <w:ind w:firstLine="709"/>
        <w:jc w:val="both"/>
        <w:rPr>
          <w:sz w:val="28"/>
          <w:szCs w:val="28"/>
        </w:rPr>
      </w:pPr>
    </w:p>
    <w:p w:rsidR="0032072E" w:rsidRDefault="0032072E" w:rsidP="0032072E">
      <w:pPr>
        <w:ind w:firstLine="709"/>
        <w:jc w:val="both"/>
        <w:rPr>
          <w:sz w:val="28"/>
          <w:szCs w:val="28"/>
        </w:rPr>
      </w:pPr>
    </w:p>
    <w:p w:rsidR="0032072E" w:rsidRDefault="0032072E" w:rsidP="0032072E">
      <w:pPr>
        <w:ind w:firstLine="709"/>
        <w:jc w:val="both"/>
        <w:rPr>
          <w:sz w:val="28"/>
          <w:szCs w:val="28"/>
        </w:rPr>
      </w:pPr>
      <w:r>
        <w:rPr>
          <w:noProof/>
        </w:rPr>
        <w:drawing>
          <wp:inline distT="0" distB="0" distL="0" distR="0" wp14:anchorId="15D5A957" wp14:editId="40CE39AF">
            <wp:extent cx="5676900" cy="3657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72E" w:rsidRDefault="0032072E" w:rsidP="0032072E">
      <w:pPr>
        <w:jc w:val="both"/>
        <w:rPr>
          <w:sz w:val="28"/>
          <w:szCs w:val="28"/>
        </w:rPr>
      </w:pPr>
      <w:r>
        <w:rPr>
          <w:sz w:val="28"/>
          <w:szCs w:val="28"/>
        </w:rPr>
        <w:t xml:space="preserve">          </w:t>
      </w:r>
    </w:p>
    <w:p w:rsidR="0032072E" w:rsidRDefault="0032072E" w:rsidP="0032072E">
      <w:pPr>
        <w:ind w:firstLine="993"/>
        <w:jc w:val="both"/>
        <w:rPr>
          <w:sz w:val="28"/>
          <w:szCs w:val="28"/>
        </w:rPr>
      </w:pPr>
      <w:r>
        <w:rPr>
          <w:sz w:val="28"/>
          <w:szCs w:val="28"/>
        </w:rPr>
        <w:t xml:space="preserve">Оборот малых и средних предприятий района в 2020 году оценивается на в сумме 2,87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индекс роста составит 98,5%, индекс дефлятор 103,5%. На плановый период ожидается рост оборота малых и средних предприятий до 3,33 </w:t>
      </w:r>
      <w:proofErr w:type="spellStart"/>
      <w:r>
        <w:rPr>
          <w:sz w:val="28"/>
          <w:szCs w:val="28"/>
        </w:rPr>
        <w:t>млрд.рублей</w:t>
      </w:r>
      <w:proofErr w:type="spellEnd"/>
      <w:r>
        <w:rPr>
          <w:sz w:val="28"/>
          <w:szCs w:val="28"/>
        </w:rPr>
        <w:t>.</w:t>
      </w:r>
    </w:p>
    <w:p w:rsidR="0032072E" w:rsidRDefault="0032072E" w:rsidP="0032072E">
      <w:pPr>
        <w:ind w:firstLine="851"/>
        <w:jc w:val="both"/>
        <w:rPr>
          <w:sz w:val="28"/>
          <w:szCs w:val="28"/>
        </w:rPr>
      </w:pPr>
      <w:r>
        <w:rPr>
          <w:sz w:val="28"/>
          <w:szCs w:val="28"/>
        </w:rPr>
        <w:lastRenderedPageBreak/>
        <w:t>Численность занятых на предприятиях малого и среднего бизнеса составила в 2019 году 2,07 тыс. чел., рост 127% по отношению к прошлому году. Увеличение  объясняется включением в данную выборк</w:t>
      </w:r>
      <w:proofErr w:type="gramStart"/>
      <w:r>
        <w:rPr>
          <w:sz w:val="28"/>
          <w:szCs w:val="28"/>
        </w:rPr>
        <w:t>у ООО</w:t>
      </w:r>
      <w:proofErr w:type="gramEnd"/>
      <w:r>
        <w:rPr>
          <w:sz w:val="28"/>
          <w:szCs w:val="28"/>
        </w:rPr>
        <w:t xml:space="preserve"> «Починковская швейная фабрика» с численностью 550 человек. В прогнозном периоде значительного роста численности </w:t>
      </w:r>
      <w:proofErr w:type="gramStart"/>
      <w:r>
        <w:rPr>
          <w:sz w:val="28"/>
          <w:szCs w:val="28"/>
        </w:rPr>
        <w:t>занятых</w:t>
      </w:r>
      <w:proofErr w:type="gramEnd"/>
      <w:r>
        <w:rPr>
          <w:sz w:val="28"/>
          <w:szCs w:val="28"/>
        </w:rPr>
        <w:t xml:space="preserve"> у СМСП  не ожидается.</w:t>
      </w:r>
    </w:p>
    <w:p w:rsidR="0032072E" w:rsidRDefault="0032072E" w:rsidP="0032072E">
      <w:pPr>
        <w:ind w:firstLine="851"/>
        <w:jc w:val="both"/>
        <w:rPr>
          <w:sz w:val="28"/>
          <w:szCs w:val="28"/>
        </w:rPr>
      </w:pPr>
      <w:r>
        <w:rPr>
          <w:sz w:val="28"/>
          <w:szCs w:val="28"/>
        </w:rPr>
        <w:t xml:space="preserve">С целью создания благоприятного климата для развития малого и среднего предпринимательства  в течение года активно проводилась  работа по разъяснению вопросов законодательства, мер поддержки и предоставления льгот  малому бизнесу. </w:t>
      </w:r>
      <w:r w:rsidRPr="00A82A50">
        <w:rPr>
          <w:sz w:val="28"/>
          <w:szCs w:val="28"/>
        </w:rPr>
        <w:t>По итогам 201</w:t>
      </w:r>
      <w:r>
        <w:rPr>
          <w:sz w:val="28"/>
          <w:szCs w:val="28"/>
        </w:rPr>
        <w:t>9</w:t>
      </w:r>
      <w:r w:rsidRPr="00A82A50">
        <w:rPr>
          <w:sz w:val="28"/>
          <w:szCs w:val="28"/>
        </w:rPr>
        <w:t xml:space="preserve"> года </w:t>
      </w:r>
      <w:r>
        <w:rPr>
          <w:sz w:val="28"/>
          <w:szCs w:val="28"/>
        </w:rPr>
        <w:t>167</w:t>
      </w:r>
      <w:r w:rsidRPr="00A82A50">
        <w:rPr>
          <w:sz w:val="28"/>
          <w:szCs w:val="28"/>
        </w:rPr>
        <w:t xml:space="preserve"> субъектам малого и среднего предпринимательства оказана информационная поддержка, проведен районный конкурс «Лучший предприниматель года».   </w:t>
      </w:r>
      <w:r>
        <w:rPr>
          <w:sz w:val="28"/>
          <w:szCs w:val="28"/>
        </w:rPr>
        <w:t xml:space="preserve">        </w:t>
      </w:r>
    </w:p>
    <w:p w:rsidR="0032072E" w:rsidRDefault="0032072E" w:rsidP="0032072E">
      <w:pPr>
        <w:ind w:firstLine="851"/>
        <w:jc w:val="both"/>
        <w:rPr>
          <w:sz w:val="28"/>
          <w:szCs w:val="28"/>
        </w:rPr>
      </w:pPr>
      <w:r>
        <w:rPr>
          <w:sz w:val="28"/>
          <w:szCs w:val="28"/>
        </w:rPr>
        <w:t>Поддержка малого и среднего предпринимательства в прогнозном периоде  будет осуществляться в рамках  муниципальной программы «Развитие и поддержка малого и среднего предпринимательства на территории муниципального образования «Починковский район» Смоленской области на 2014-2020 годы».</w:t>
      </w:r>
    </w:p>
    <w:p w:rsidR="0032072E" w:rsidRDefault="0032072E" w:rsidP="0032072E">
      <w:pPr>
        <w:jc w:val="both"/>
        <w:rPr>
          <w:sz w:val="28"/>
          <w:szCs w:val="28"/>
        </w:rPr>
      </w:pPr>
      <w:r>
        <w:rPr>
          <w:sz w:val="28"/>
          <w:szCs w:val="28"/>
        </w:rPr>
        <w:t xml:space="preserve">           В среднесрочной перспективе Администрацией района   будет продолжена работа по созданию благоприятных условий для развития малого и среднего предпринимательства:</w:t>
      </w:r>
    </w:p>
    <w:p w:rsidR="0032072E" w:rsidRDefault="0032072E" w:rsidP="0032072E">
      <w:pPr>
        <w:jc w:val="both"/>
        <w:rPr>
          <w:sz w:val="28"/>
          <w:szCs w:val="28"/>
        </w:rPr>
      </w:pPr>
      <w:r>
        <w:rPr>
          <w:sz w:val="28"/>
          <w:szCs w:val="28"/>
        </w:rPr>
        <w:t xml:space="preserve">       - проведение семинаров и круглых столов по актуальным вопросам малого бизнеса;</w:t>
      </w:r>
    </w:p>
    <w:p w:rsidR="0032072E" w:rsidRDefault="0032072E" w:rsidP="0032072E">
      <w:pPr>
        <w:jc w:val="both"/>
        <w:rPr>
          <w:sz w:val="28"/>
          <w:szCs w:val="28"/>
        </w:rPr>
      </w:pPr>
      <w:r>
        <w:rPr>
          <w:sz w:val="28"/>
          <w:szCs w:val="28"/>
        </w:rPr>
        <w:t xml:space="preserve">       -  проведение ежегодного конкурса на звание «Лучший предприниматель года»;</w:t>
      </w:r>
    </w:p>
    <w:p w:rsidR="0032072E" w:rsidRDefault="0032072E" w:rsidP="0032072E">
      <w:pPr>
        <w:jc w:val="both"/>
        <w:rPr>
          <w:sz w:val="28"/>
          <w:szCs w:val="28"/>
        </w:rPr>
      </w:pPr>
      <w:r>
        <w:rPr>
          <w:sz w:val="28"/>
          <w:szCs w:val="28"/>
        </w:rPr>
        <w:t xml:space="preserve">       - освещение деятельности малого  и среднего бизнеса в районной газете «Сельская новь», на сайте Администрации в сети Интернет;</w:t>
      </w:r>
    </w:p>
    <w:p w:rsidR="0032072E" w:rsidRDefault="0032072E" w:rsidP="0032072E">
      <w:pPr>
        <w:jc w:val="both"/>
        <w:rPr>
          <w:sz w:val="28"/>
          <w:szCs w:val="28"/>
        </w:rPr>
      </w:pPr>
      <w:r>
        <w:rPr>
          <w:sz w:val="28"/>
          <w:szCs w:val="28"/>
        </w:rPr>
        <w:t xml:space="preserve">       - привлечение субъектов малого и среднего предпринимательства к участию в качестве поставщиков, исполнителей, подрядчиков к выполнению работ для муниципальных нужд;</w:t>
      </w:r>
    </w:p>
    <w:p w:rsidR="0032072E" w:rsidRDefault="0032072E" w:rsidP="0032072E">
      <w:pPr>
        <w:jc w:val="both"/>
        <w:rPr>
          <w:sz w:val="28"/>
          <w:szCs w:val="28"/>
        </w:rPr>
      </w:pPr>
      <w:r>
        <w:rPr>
          <w:sz w:val="28"/>
          <w:szCs w:val="28"/>
        </w:rPr>
        <w:t xml:space="preserve">       - оказание консультативной помощи начинающим предпринимателям;</w:t>
      </w:r>
    </w:p>
    <w:p w:rsidR="0032072E" w:rsidRDefault="0032072E" w:rsidP="0032072E">
      <w:pPr>
        <w:jc w:val="both"/>
        <w:rPr>
          <w:sz w:val="28"/>
          <w:szCs w:val="28"/>
        </w:rPr>
      </w:pPr>
      <w:r>
        <w:rPr>
          <w:sz w:val="28"/>
          <w:szCs w:val="28"/>
        </w:rPr>
        <w:t xml:space="preserve">       - предоставление имущественной поддержки субъектам малого и среднего предпринимательства;</w:t>
      </w:r>
    </w:p>
    <w:p w:rsidR="0032072E" w:rsidRDefault="0032072E" w:rsidP="0032072E">
      <w:pPr>
        <w:jc w:val="both"/>
        <w:rPr>
          <w:sz w:val="28"/>
          <w:szCs w:val="28"/>
        </w:rPr>
      </w:pPr>
      <w:r>
        <w:rPr>
          <w:sz w:val="28"/>
          <w:szCs w:val="28"/>
        </w:rPr>
        <w:t xml:space="preserve">        - информирование предпринимателей о проводимых областных конкурсах по оказанию мер финансовой поддержки субъектам малого и среднего бизнеса;</w:t>
      </w:r>
    </w:p>
    <w:p w:rsidR="0032072E" w:rsidRDefault="0032072E" w:rsidP="0032072E">
      <w:pPr>
        <w:jc w:val="both"/>
        <w:rPr>
          <w:sz w:val="28"/>
          <w:szCs w:val="28"/>
        </w:rPr>
      </w:pPr>
      <w:r>
        <w:rPr>
          <w:sz w:val="28"/>
          <w:szCs w:val="28"/>
        </w:rPr>
        <w:t xml:space="preserve">        -  пропаганда и популяризация предпринимательской деятельности.</w:t>
      </w:r>
    </w:p>
    <w:p w:rsidR="0032072E" w:rsidRDefault="0032072E" w:rsidP="0032072E">
      <w:pPr>
        <w:ind w:firstLine="709"/>
        <w:jc w:val="both"/>
        <w:rPr>
          <w:sz w:val="28"/>
          <w:szCs w:val="28"/>
        </w:rPr>
      </w:pPr>
    </w:p>
    <w:p w:rsidR="007C6774" w:rsidRPr="007329F9" w:rsidRDefault="006F34E6" w:rsidP="007329F9">
      <w:pPr>
        <w:ind w:firstLine="709"/>
        <w:jc w:val="center"/>
        <w:rPr>
          <w:b/>
          <w:sz w:val="28"/>
          <w:szCs w:val="28"/>
        </w:rPr>
      </w:pPr>
      <w:r w:rsidRPr="007329F9">
        <w:rPr>
          <w:b/>
          <w:sz w:val="28"/>
          <w:szCs w:val="28"/>
        </w:rPr>
        <w:t>6</w:t>
      </w:r>
      <w:r w:rsidR="007C6774" w:rsidRPr="007329F9">
        <w:rPr>
          <w:b/>
          <w:sz w:val="28"/>
          <w:szCs w:val="28"/>
        </w:rPr>
        <w:t>. Инвестиции</w:t>
      </w:r>
    </w:p>
    <w:p w:rsidR="007C6774" w:rsidRPr="007329F9" w:rsidRDefault="007C6774" w:rsidP="007329F9">
      <w:pPr>
        <w:ind w:firstLine="709"/>
        <w:jc w:val="center"/>
        <w:rPr>
          <w:b/>
          <w:sz w:val="28"/>
          <w:szCs w:val="28"/>
        </w:rPr>
      </w:pPr>
    </w:p>
    <w:p w:rsidR="00976D12" w:rsidRDefault="00976D12" w:rsidP="00976D12">
      <w:pPr>
        <w:jc w:val="both"/>
        <w:rPr>
          <w:sz w:val="28"/>
          <w:szCs w:val="28"/>
        </w:rPr>
      </w:pPr>
      <w:r w:rsidRPr="00907C31">
        <w:rPr>
          <w:sz w:val="28"/>
          <w:szCs w:val="28"/>
        </w:rPr>
        <w:t xml:space="preserve">            Прогноз развития инвестиционной деятельности в 20</w:t>
      </w:r>
      <w:r>
        <w:rPr>
          <w:sz w:val="28"/>
          <w:szCs w:val="28"/>
        </w:rPr>
        <w:t>20</w:t>
      </w:r>
      <w:r w:rsidRPr="00907C31">
        <w:rPr>
          <w:sz w:val="28"/>
          <w:szCs w:val="28"/>
        </w:rPr>
        <w:t>-202</w:t>
      </w:r>
      <w:r>
        <w:rPr>
          <w:sz w:val="28"/>
          <w:szCs w:val="28"/>
        </w:rPr>
        <w:t xml:space="preserve">3 </w:t>
      </w:r>
      <w:r w:rsidRPr="00907C31">
        <w:rPr>
          <w:sz w:val="28"/>
          <w:szCs w:val="28"/>
        </w:rPr>
        <w:t>годах разработан на основе данных предприятий Починковского района о планируемых на указанный период объемах инвестиций в основной капитал, а также с учетом реализации на территории района инвестиционных проектов.</w:t>
      </w:r>
    </w:p>
    <w:p w:rsidR="00976D12" w:rsidRPr="00907C31" w:rsidRDefault="00976D12" w:rsidP="00976D12">
      <w:pPr>
        <w:ind w:firstLine="851"/>
        <w:jc w:val="both"/>
        <w:rPr>
          <w:sz w:val="28"/>
          <w:szCs w:val="28"/>
        </w:rPr>
      </w:pPr>
      <w:r>
        <w:rPr>
          <w:sz w:val="28"/>
          <w:szCs w:val="28"/>
        </w:rPr>
        <w:t xml:space="preserve">Объем инвестиций в основной капитал за счет всех источников финансирования в 2019 году составил 1244,6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рост к прошлому году – 98%.</w:t>
      </w:r>
    </w:p>
    <w:p w:rsidR="00976D12" w:rsidRPr="00907C31" w:rsidRDefault="00976D12" w:rsidP="00976D12">
      <w:pPr>
        <w:ind w:firstLine="709"/>
        <w:jc w:val="both"/>
        <w:rPr>
          <w:sz w:val="28"/>
          <w:szCs w:val="28"/>
        </w:rPr>
      </w:pPr>
      <w:r w:rsidRPr="00907C31">
        <w:rPr>
          <w:sz w:val="28"/>
          <w:szCs w:val="28"/>
        </w:rPr>
        <w:t xml:space="preserve">    По источникам финансирования  инвестиции в 201</w:t>
      </w:r>
      <w:r>
        <w:rPr>
          <w:sz w:val="28"/>
          <w:szCs w:val="28"/>
        </w:rPr>
        <w:t>9</w:t>
      </w:r>
      <w:r w:rsidRPr="00907C31">
        <w:rPr>
          <w:sz w:val="28"/>
          <w:szCs w:val="28"/>
        </w:rPr>
        <w:t xml:space="preserve"> году распределялись следующим образом:</w:t>
      </w:r>
    </w:p>
    <w:p w:rsidR="00976D12" w:rsidRPr="00907C31" w:rsidRDefault="00976D12" w:rsidP="00976D12">
      <w:pPr>
        <w:ind w:firstLine="709"/>
        <w:jc w:val="both"/>
        <w:rPr>
          <w:sz w:val="28"/>
          <w:szCs w:val="28"/>
        </w:rPr>
      </w:pPr>
      <w:r w:rsidRPr="00907C31">
        <w:rPr>
          <w:sz w:val="28"/>
          <w:szCs w:val="28"/>
        </w:rPr>
        <w:t xml:space="preserve">-  собственные средства организаций </w:t>
      </w:r>
      <w:r>
        <w:rPr>
          <w:sz w:val="28"/>
          <w:szCs w:val="28"/>
        </w:rPr>
        <w:t xml:space="preserve">1078,3 </w:t>
      </w:r>
      <w:r w:rsidRPr="00907C31">
        <w:rPr>
          <w:sz w:val="28"/>
          <w:szCs w:val="28"/>
        </w:rPr>
        <w:t xml:space="preserve">млн. руб., что составило  </w:t>
      </w:r>
      <w:r>
        <w:rPr>
          <w:sz w:val="28"/>
          <w:szCs w:val="28"/>
        </w:rPr>
        <w:t>86,6</w:t>
      </w:r>
      <w:r w:rsidRPr="00907C31">
        <w:rPr>
          <w:sz w:val="28"/>
          <w:szCs w:val="28"/>
        </w:rPr>
        <w:t xml:space="preserve"> % от общего объема инвестиций;</w:t>
      </w:r>
    </w:p>
    <w:p w:rsidR="00976D12" w:rsidRDefault="00976D12" w:rsidP="00976D12">
      <w:pPr>
        <w:ind w:firstLine="709"/>
        <w:jc w:val="both"/>
        <w:rPr>
          <w:sz w:val="28"/>
          <w:szCs w:val="28"/>
        </w:rPr>
      </w:pPr>
      <w:r w:rsidRPr="00907C31">
        <w:rPr>
          <w:sz w:val="28"/>
          <w:szCs w:val="28"/>
        </w:rPr>
        <w:lastRenderedPageBreak/>
        <w:t xml:space="preserve">-  привлеченные средства (кредиты банков, бюджетные средства, прочие) – </w:t>
      </w:r>
      <w:r>
        <w:rPr>
          <w:sz w:val="28"/>
          <w:szCs w:val="28"/>
        </w:rPr>
        <w:t xml:space="preserve">166,3 </w:t>
      </w:r>
      <w:r w:rsidRPr="00907C31">
        <w:rPr>
          <w:sz w:val="28"/>
          <w:szCs w:val="28"/>
        </w:rPr>
        <w:t xml:space="preserve"> млн. руб. или  </w:t>
      </w:r>
      <w:r>
        <w:rPr>
          <w:sz w:val="28"/>
          <w:szCs w:val="28"/>
        </w:rPr>
        <w:t>13,4</w:t>
      </w:r>
      <w:r w:rsidRPr="00907C31">
        <w:rPr>
          <w:sz w:val="28"/>
          <w:szCs w:val="28"/>
        </w:rPr>
        <w:t xml:space="preserve"> % от общего объема инвестиций. </w:t>
      </w:r>
    </w:p>
    <w:p w:rsidR="00976D12" w:rsidRDefault="00976D12" w:rsidP="00976D12">
      <w:pPr>
        <w:ind w:firstLine="709"/>
        <w:jc w:val="both"/>
        <w:rPr>
          <w:sz w:val="28"/>
          <w:szCs w:val="28"/>
        </w:rPr>
      </w:pPr>
      <w:r>
        <w:rPr>
          <w:sz w:val="28"/>
          <w:szCs w:val="28"/>
        </w:rPr>
        <w:t>Структура привлеченных сре</w:t>
      </w:r>
      <w:proofErr w:type="gramStart"/>
      <w:r>
        <w:rPr>
          <w:sz w:val="28"/>
          <w:szCs w:val="28"/>
        </w:rPr>
        <w:t>дств сл</w:t>
      </w:r>
      <w:proofErr w:type="gramEnd"/>
      <w:r>
        <w:rPr>
          <w:sz w:val="28"/>
          <w:szCs w:val="28"/>
        </w:rPr>
        <w:t xml:space="preserve">едующая: </w:t>
      </w:r>
    </w:p>
    <w:p w:rsidR="00976D12" w:rsidRDefault="00976D12" w:rsidP="00976D12">
      <w:pPr>
        <w:ind w:firstLine="709"/>
        <w:jc w:val="both"/>
        <w:rPr>
          <w:sz w:val="28"/>
          <w:szCs w:val="28"/>
        </w:rPr>
      </w:pPr>
      <w:r>
        <w:rPr>
          <w:sz w:val="28"/>
          <w:szCs w:val="28"/>
        </w:rPr>
        <w:t xml:space="preserve">- кредиты банка – 8,7  </w:t>
      </w:r>
      <w:proofErr w:type="spellStart"/>
      <w:r>
        <w:rPr>
          <w:sz w:val="28"/>
          <w:szCs w:val="28"/>
        </w:rPr>
        <w:t>млн</w:t>
      </w:r>
      <w:proofErr w:type="gramStart"/>
      <w:r>
        <w:rPr>
          <w:sz w:val="28"/>
          <w:szCs w:val="28"/>
        </w:rPr>
        <w:t>.р</w:t>
      </w:r>
      <w:proofErr w:type="gramEnd"/>
      <w:r>
        <w:rPr>
          <w:sz w:val="28"/>
          <w:szCs w:val="28"/>
        </w:rPr>
        <w:t>ублей</w:t>
      </w:r>
      <w:proofErr w:type="spellEnd"/>
      <w:r>
        <w:rPr>
          <w:sz w:val="28"/>
          <w:szCs w:val="28"/>
        </w:rPr>
        <w:t xml:space="preserve"> или 5,2% от общего объема привлеченных средств;</w:t>
      </w:r>
    </w:p>
    <w:p w:rsidR="00976D12" w:rsidRDefault="00976D12" w:rsidP="00976D12">
      <w:pPr>
        <w:ind w:firstLine="709"/>
        <w:jc w:val="both"/>
        <w:rPr>
          <w:sz w:val="28"/>
          <w:szCs w:val="28"/>
        </w:rPr>
      </w:pPr>
      <w:r>
        <w:rPr>
          <w:sz w:val="28"/>
          <w:szCs w:val="28"/>
        </w:rPr>
        <w:t xml:space="preserve">-  бюджетные средства – 151,5 </w:t>
      </w:r>
      <w:proofErr w:type="spellStart"/>
      <w:r>
        <w:rPr>
          <w:sz w:val="28"/>
          <w:szCs w:val="28"/>
        </w:rPr>
        <w:t>млн</w:t>
      </w:r>
      <w:proofErr w:type="gramStart"/>
      <w:r>
        <w:rPr>
          <w:sz w:val="28"/>
          <w:szCs w:val="28"/>
        </w:rPr>
        <w:t>.р</w:t>
      </w:r>
      <w:proofErr w:type="gramEnd"/>
      <w:r>
        <w:rPr>
          <w:sz w:val="28"/>
          <w:szCs w:val="28"/>
        </w:rPr>
        <w:t>ублей</w:t>
      </w:r>
      <w:proofErr w:type="spellEnd"/>
      <w:r>
        <w:rPr>
          <w:sz w:val="28"/>
          <w:szCs w:val="28"/>
        </w:rPr>
        <w:t xml:space="preserve"> или 91,1% от общего объема привлеченных средств; </w:t>
      </w:r>
    </w:p>
    <w:p w:rsidR="00976D12" w:rsidRDefault="00976D12" w:rsidP="00976D12">
      <w:pPr>
        <w:ind w:firstLine="709"/>
        <w:jc w:val="both"/>
        <w:rPr>
          <w:sz w:val="28"/>
          <w:szCs w:val="28"/>
        </w:rPr>
      </w:pPr>
      <w:r>
        <w:rPr>
          <w:sz w:val="28"/>
          <w:szCs w:val="28"/>
        </w:rPr>
        <w:t xml:space="preserve">- внебюджетные средства  и прочие – 6,1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или 3,7%  от общего объема привлеченных средств.</w:t>
      </w:r>
    </w:p>
    <w:p w:rsidR="00976D12" w:rsidRPr="008749CB" w:rsidRDefault="00976D12" w:rsidP="00976D12">
      <w:pPr>
        <w:ind w:firstLine="709"/>
        <w:jc w:val="both"/>
        <w:rPr>
          <w:sz w:val="28"/>
          <w:szCs w:val="28"/>
        </w:rPr>
      </w:pPr>
      <w:r w:rsidRPr="008749CB">
        <w:rPr>
          <w:sz w:val="28"/>
          <w:szCs w:val="28"/>
        </w:rPr>
        <w:t>В отчетном году в районе реализовывалось 26 инвестиционных проектов, из которых  5 – за счет сре</w:t>
      </w:r>
      <w:proofErr w:type="gramStart"/>
      <w:r w:rsidRPr="008749CB">
        <w:rPr>
          <w:sz w:val="28"/>
          <w:szCs w:val="28"/>
        </w:rPr>
        <w:t>дств кр</w:t>
      </w:r>
      <w:proofErr w:type="gramEnd"/>
      <w:r w:rsidRPr="008749CB">
        <w:rPr>
          <w:sz w:val="28"/>
          <w:szCs w:val="28"/>
        </w:rPr>
        <w:t>упных инвесторов, 14 – за счет средств субъектов малого и среднего бизнеса, 7 – за счет бюджетных средств.</w:t>
      </w:r>
    </w:p>
    <w:p w:rsidR="00976D12" w:rsidRPr="008749CB" w:rsidRDefault="00976D12" w:rsidP="00976D12">
      <w:pPr>
        <w:ind w:firstLine="709"/>
        <w:jc w:val="both"/>
        <w:rPr>
          <w:sz w:val="28"/>
          <w:szCs w:val="28"/>
        </w:rPr>
      </w:pPr>
      <w:r w:rsidRPr="008749CB">
        <w:rPr>
          <w:sz w:val="28"/>
          <w:szCs w:val="28"/>
        </w:rPr>
        <w:t>Основными инвесторами в  201</w:t>
      </w:r>
      <w:r>
        <w:rPr>
          <w:sz w:val="28"/>
          <w:szCs w:val="28"/>
        </w:rPr>
        <w:t>9</w:t>
      </w:r>
      <w:r w:rsidRPr="008749CB">
        <w:rPr>
          <w:sz w:val="28"/>
          <w:szCs w:val="28"/>
        </w:rPr>
        <w:t xml:space="preserve"> года являлись:</w:t>
      </w:r>
    </w:p>
    <w:p w:rsidR="00976D12" w:rsidRPr="008749CB" w:rsidRDefault="00976D12" w:rsidP="00976D12">
      <w:pPr>
        <w:jc w:val="both"/>
        <w:rPr>
          <w:sz w:val="28"/>
          <w:szCs w:val="28"/>
        </w:rPr>
      </w:pPr>
      <w:r w:rsidRPr="008749CB">
        <w:rPr>
          <w:sz w:val="28"/>
          <w:szCs w:val="28"/>
        </w:rPr>
        <w:t xml:space="preserve">      - ООО «Брянская мясная компания» – инвестиционный проект «Строительство животноводческих комплексов по содержанию КРС» -  общая сумма инвестиций в основной капитал 367 млн. 867 тыс. руб., 98% которых затрачено на формирование рабочего, продуктивного и племенного стада; </w:t>
      </w:r>
    </w:p>
    <w:p w:rsidR="00976D12" w:rsidRPr="008749CB" w:rsidRDefault="00976D12" w:rsidP="00976D12">
      <w:pPr>
        <w:jc w:val="both"/>
        <w:rPr>
          <w:sz w:val="28"/>
          <w:szCs w:val="28"/>
        </w:rPr>
      </w:pPr>
      <w:r w:rsidRPr="008749CB">
        <w:rPr>
          <w:sz w:val="28"/>
          <w:szCs w:val="28"/>
        </w:rPr>
        <w:t xml:space="preserve">      - ЗАО «Тропарево» -   инвестиционный проект «Реконструкция фермы для содержания овец, приобретение с/х техники для модернизации действующего производства» - общая сумма инвестиций </w:t>
      </w:r>
      <w:r>
        <w:rPr>
          <w:sz w:val="28"/>
          <w:szCs w:val="28"/>
        </w:rPr>
        <w:t>318</w:t>
      </w:r>
      <w:r w:rsidRPr="008749CB">
        <w:rPr>
          <w:sz w:val="28"/>
          <w:szCs w:val="28"/>
        </w:rPr>
        <w:t xml:space="preserve"> млн. </w:t>
      </w:r>
      <w:r>
        <w:rPr>
          <w:sz w:val="28"/>
          <w:szCs w:val="28"/>
        </w:rPr>
        <w:t>327</w:t>
      </w:r>
      <w:r w:rsidRPr="008749CB">
        <w:rPr>
          <w:sz w:val="28"/>
          <w:szCs w:val="28"/>
        </w:rPr>
        <w:t xml:space="preserve"> тыс. руб.;</w:t>
      </w:r>
    </w:p>
    <w:p w:rsidR="00976D12" w:rsidRPr="008749CB" w:rsidRDefault="00976D12" w:rsidP="00976D12">
      <w:pPr>
        <w:jc w:val="both"/>
        <w:rPr>
          <w:sz w:val="28"/>
          <w:szCs w:val="28"/>
        </w:rPr>
      </w:pPr>
      <w:r w:rsidRPr="008749CB">
        <w:rPr>
          <w:sz w:val="28"/>
          <w:szCs w:val="28"/>
        </w:rPr>
        <w:t xml:space="preserve">      - ООО «Смоленское поле»  на развитие действующего производства направлено инвестиций на сумму  283 млн. 370  тыс. руб.,</w:t>
      </w:r>
    </w:p>
    <w:p w:rsidR="00976D12" w:rsidRPr="008749CB" w:rsidRDefault="00976D12" w:rsidP="00976D12">
      <w:pPr>
        <w:jc w:val="both"/>
        <w:rPr>
          <w:sz w:val="28"/>
          <w:szCs w:val="28"/>
        </w:rPr>
      </w:pPr>
      <w:r w:rsidRPr="008749CB">
        <w:rPr>
          <w:sz w:val="28"/>
          <w:szCs w:val="28"/>
        </w:rPr>
        <w:t xml:space="preserve">     - ООО «Славянский продукт» на расширение действующего производства направлено 29 млн.500 </w:t>
      </w:r>
      <w:proofErr w:type="spellStart"/>
      <w:r w:rsidRPr="008749CB">
        <w:rPr>
          <w:sz w:val="28"/>
          <w:szCs w:val="28"/>
        </w:rPr>
        <w:t>тыс</w:t>
      </w:r>
      <w:proofErr w:type="gramStart"/>
      <w:r w:rsidRPr="008749CB">
        <w:rPr>
          <w:sz w:val="28"/>
          <w:szCs w:val="28"/>
        </w:rPr>
        <w:t>.р</w:t>
      </w:r>
      <w:proofErr w:type="gramEnd"/>
      <w:r w:rsidRPr="008749CB">
        <w:rPr>
          <w:sz w:val="28"/>
          <w:szCs w:val="28"/>
        </w:rPr>
        <w:t>уб</w:t>
      </w:r>
      <w:proofErr w:type="spellEnd"/>
      <w:r w:rsidRPr="008749CB">
        <w:rPr>
          <w:sz w:val="28"/>
          <w:szCs w:val="28"/>
        </w:rPr>
        <w:t>. инвестиций;</w:t>
      </w:r>
    </w:p>
    <w:p w:rsidR="00976D12" w:rsidRPr="008749CB" w:rsidRDefault="00976D12" w:rsidP="00976D12">
      <w:pPr>
        <w:jc w:val="both"/>
        <w:rPr>
          <w:sz w:val="28"/>
          <w:szCs w:val="28"/>
        </w:rPr>
      </w:pPr>
      <w:r w:rsidRPr="008749CB">
        <w:rPr>
          <w:sz w:val="28"/>
          <w:szCs w:val="28"/>
        </w:rPr>
        <w:t xml:space="preserve">     - СПК «Дружба» на развитие предприятия направлено  47 млн. 914 тыс. руб. инвестиций;</w:t>
      </w:r>
    </w:p>
    <w:p w:rsidR="00976D12" w:rsidRPr="008749CB" w:rsidRDefault="00976D12" w:rsidP="00976D12">
      <w:pPr>
        <w:ind w:firstLine="709"/>
        <w:jc w:val="both"/>
        <w:rPr>
          <w:sz w:val="28"/>
          <w:szCs w:val="28"/>
        </w:rPr>
      </w:pPr>
      <w:r w:rsidRPr="008749CB">
        <w:rPr>
          <w:sz w:val="28"/>
          <w:szCs w:val="28"/>
        </w:rPr>
        <w:t xml:space="preserve">- ООО «Починковская  швейная фабрика»  в течение года реализовывала инвестиционный проект «Строительство новой швейной фабрики по пошиву одежды», сумма инвестиций составила 6 млн. 250 тыс. руб. </w:t>
      </w:r>
    </w:p>
    <w:p w:rsidR="00976D12" w:rsidRDefault="00976D12" w:rsidP="00976D12">
      <w:pPr>
        <w:ind w:firstLine="709"/>
        <w:jc w:val="both"/>
        <w:rPr>
          <w:rFonts w:eastAsia="Calibri"/>
          <w:sz w:val="28"/>
          <w:szCs w:val="28"/>
          <w:lang w:eastAsia="en-US"/>
        </w:rPr>
      </w:pPr>
    </w:p>
    <w:p w:rsidR="00976D12" w:rsidRPr="008749CB" w:rsidRDefault="00976D12" w:rsidP="00976D12">
      <w:pPr>
        <w:ind w:firstLine="709"/>
        <w:jc w:val="both"/>
        <w:rPr>
          <w:sz w:val="28"/>
          <w:szCs w:val="28"/>
        </w:rPr>
      </w:pPr>
      <w:r w:rsidRPr="008749CB">
        <w:rPr>
          <w:sz w:val="28"/>
          <w:szCs w:val="28"/>
        </w:rPr>
        <w:t>За счет бюджетных средств реализовано следующее:</w:t>
      </w:r>
    </w:p>
    <w:p w:rsidR="00976D12" w:rsidRPr="008749CB" w:rsidRDefault="00976D12" w:rsidP="00976D12">
      <w:pPr>
        <w:ind w:firstLine="709"/>
        <w:jc w:val="both"/>
        <w:rPr>
          <w:sz w:val="28"/>
          <w:szCs w:val="28"/>
        </w:rPr>
      </w:pPr>
    </w:p>
    <w:p w:rsidR="00976D12" w:rsidRPr="008749CB" w:rsidRDefault="00976D12" w:rsidP="00976D12">
      <w:pPr>
        <w:ind w:firstLine="709"/>
        <w:jc w:val="both"/>
        <w:rPr>
          <w:sz w:val="28"/>
          <w:szCs w:val="28"/>
        </w:rPr>
      </w:pPr>
      <w:r w:rsidRPr="008749CB">
        <w:rPr>
          <w:sz w:val="28"/>
          <w:szCs w:val="28"/>
        </w:rPr>
        <w:t xml:space="preserve">  Администрацией Стодолищенского сельского поселения реализован инвестиционный проект «Создание условий для обеспечения качественными услугами ЖКХ населения п. Стодолище - модернизация объектов питьевого водоснабжения» на сумму 55 млн. 659 </w:t>
      </w:r>
      <w:proofErr w:type="spellStart"/>
      <w:r w:rsidRPr="008749CB">
        <w:rPr>
          <w:sz w:val="28"/>
          <w:szCs w:val="28"/>
        </w:rPr>
        <w:t>тыс</w:t>
      </w:r>
      <w:proofErr w:type="gramStart"/>
      <w:r w:rsidRPr="008749CB">
        <w:rPr>
          <w:sz w:val="28"/>
          <w:szCs w:val="28"/>
        </w:rPr>
        <w:t>.р</w:t>
      </w:r>
      <w:proofErr w:type="gramEnd"/>
      <w:r w:rsidRPr="008749CB">
        <w:rPr>
          <w:sz w:val="28"/>
          <w:szCs w:val="28"/>
        </w:rPr>
        <w:t>уб</w:t>
      </w:r>
      <w:proofErr w:type="spellEnd"/>
      <w:r w:rsidRPr="008749CB">
        <w:rPr>
          <w:sz w:val="28"/>
          <w:szCs w:val="28"/>
        </w:rPr>
        <w:t>.</w:t>
      </w:r>
    </w:p>
    <w:p w:rsidR="00976D12" w:rsidRPr="008749CB" w:rsidRDefault="00976D12" w:rsidP="00976D12">
      <w:pPr>
        <w:jc w:val="both"/>
        <w:rPr>
          <w:sz w:val="28"/>
          <w:szCs w:val="28"/>
        </w:rPr>
      </w:pPr>
      <w:r w:rsidRPr="008749CB">
        <w:rPr>
          <w:sz w:val="28"/>
          <w:szCs w:val="28"/>
        </w:rPr>
        <w:t xml:space="preserve">        Администрацией Стригинского сельского поселения Починковского района Смоленской области произведена газификация жилой зоны восточной части д. </w:t>
      </w:r>
      <w:proofErr w:type="spellStart"/>
      <w:r w:rsidRPr="008749CB">
        <w:rPr>
          <w:sz w:val="28"/>
          <w:szCs w:val="28"/>
        </w:rPr>
        <w:t>Стригино</w:t>
      </w:r>
      <w:proofErr w:type="spellEnd"/>
      <w:r w:rsidRPr="008749CB">
        <w:rPr>
          <w:sz w:val="28"/>
          <w:szCs w:val="28"/>
        </w:rPr>
        <w:t xml:space="preserve"> на сумму 3 млн. 500 тыс. рублей.</w:t>
      </w:r>
    </w:p>
    <w:p w:rsidR="00976D12" w:rsidRPr="008749CB" w:rsidRDefault="00976D12" w:rsidP="00976D12">
      <w:pPr>
        <w:jc w:val="both"/>
        <w:rPr>
          <w:sz w:val="28"/>
          <w:szCs w:val="28"/>
        </w:rPr>
      </w:pPr>
      <w:r w:rsidRPr="008749CB">
        <w:rPr>
          <w:sz w:val="28"/>
          <w:szCs w:val="28"/>
        </w:rPr>
        <w:t xml:space="preserve">          Администрацией Ленинского сельского поселения Починковского района Смоленской области произведено повышение уровня газификации населенных пунктов на сумму 2 млн. рублей.</w:t>
      </w:r>
    </w:p>
    <w:p w:rsidR="00976D12" w:rsidRPr="008749CB" w:rsidRDefault="00976D12" w:rsidP="00976D12">
      <w:pPr>
        <w:ind w:firstLine="709"/>
        <w:jc w:val="both"/>
        <w:rPr>
          <w:sz w:val="28"/>
          <w:szCs w:val="28"/>
        </w:rPr>
      </w:pPr>
      <w:r w:rsidRPr="008749CB">
        <w:rPr>
          <w:sz w:val="28"/>
          <w:szCs w:val="28"/>
        </w:rPr>
        <w:t>Администрацией Лосненского сельского поселения Починковского района Смоленской области произведены вложения в развитие сельских территорий на сумму – 5 млн. 9 тыс. рублей.</w:t>
      </w:r>
    </w:p>
    <w:p w:rsidR="00976D12" w:rsidRPr="008749CB" w:rsidRDefault="00976D12" w:rsidP="00976D12">
      <w:pPr>
        <w:jc w:val="both"/>
        <w:rPr>
          <w:sz w:val="28"/>
          <w:szCs w:val="28"/>
        </w:rPr>
      </w:pPr>
      <w:r w:rsidRPr="008749CB">
        <w:rPr>
          <w:sz w:val="28"/>
          <w:szCs w:val="28"/>
        </w:rPr>
        <w:lastRenderedPageBreak/>
        <w:t xml:space="preserve">      ОГБУЗ "Починковская  ЦРБ" объем инвестиций в основной капитал составил 8 млн. 991 тыс. руб.         </w:t>
      </w:r>
    </w:p>
    <w:p w:rsidR="00976D12" w:rsidRPr="008749CB" w:rsidRDefault="00976D12" w:rsidP="00976D12">
      <w:pPr>
        <w:ind w:firstLine="709"/>
        <w:jc w:val="both"/>
        <w:rPr>
          <w:sz w:val="28"/>
          <w:szCs w:val="28"/>
        </w:rPr>
      </w:pPr>
      <w:r w:rsidRPr="008749CB">
        <w:rPr>
          <w:sz w:val="28"/>
          <w:szCs w:val="28"/>
        </w:rPr>
        <w:t>МБУК "Районный культурно-досуговый центр" Администрации муниципального образования "Починковский район" Смоленской области - общая сумма инвестиций в основной капитал составила 4 млн. 931 тыс. руб., из них – 135 тыс. рублей вложено в здания и сооружения (кроме жилых),  4 млн. 796 тыс. рублей вложено в приобретение ИКТ и прочих расходов;</w:t>
      </w:r>
    </w:p>
    <w:p w:rsidR="00976D12" w:rsidRPr="008749CB" w:rsidRDefault="00976D12" w:rsidP="00976D12">
      <w:pPr>
        <w:ind w:firstLine="709"/>
        <w:jc w:val="both"/>
        <w:rPr>
          <w:sz w:val="28"/>
          <w:szCs w:val="28"/>
        </w:rPr>
      </w:pPr>
      <w:r w:rsidRPr="008749CB">
        <w:rPr>
          <w:sz w:val="28"/>
          <w:szCs w:val="28"/>
        </w:rPr>
        <w:t xml:space="preserve">СОГБУ "Починковская  школа-интернат" - общая сумма инвестиций в основной капитал 3 млн. 935 тыс. руб. из них 3 млн. 10 тыс. рублей вложено в здания и </w:t>
      </w:r>
      <w:proofErr w:type="gramStart"/>
      <w:r w:rsidRPr="008749CB">
        <w:rPr>
          <w:sz w:val="28"/>
          <w:szCs w:val="28"/>
        </w:rPr>
        <w:t>сооружения</w:t>
      </w:r>
      <w:proofErr w:type="gramEnd"/>
      <w:r w:rsidRPr="008749CB">
        <w:rPr>
          <w:sz w:val="28"/>
          <w:szCs w:val="28"/>
        </w:rPr>
        <w:t xml:space="preserve"> и  прочие расходы составили 925 тыс. рублей;</w:t>
      </w:r>
    </w:p>
    <w:p w:rsidR="00976D12" w:rsidRPr="008749CB" w:rsidRDefault="00976D12" w:rsidP="00976D12">
      <w:pPr>
        <w:ind w:firstLine="709"/>
        <w:jc w:val="both"/>
        <w:rPr>
          <w:sz w:val="28"/>
          <w:szCs w:val="28"/>
        </w:rPr>
      </w:pPr>
      <w:r w:rsidRPr="008749CB">
        <w:rPr>
          <w:sz w:val="28"/>
          <w:szCs w:val="28"/>
        </w:rPr>
        <w:t>ФКУ "УФО МО РФ по Смоленской, Брянской и Орловской областям" – 30 млн. 152 тыс. руб. потрачено на приобретение имущества и оборудования МО РФ.</w:t>
      </w:r>
    </w:p>
    <w:p w:rsidR="00976D12" w:rsidRPr="008749CB" w:rsidRDefault="00976D12" w:rsidP="00976D12">
      <w:pPr>
        <w:ind w:firstLine="709"/>
        <w:jc w:val="both"/>
        <w:rPr>
          <w:sz w:val="28"/>
          <w:szCs w:val="28"/>
        </w:rPr>
      </w:pPr>
      <w:r w:rsidRPr="008749CB">
        <w:rPr>
          <w:sz w:val="28"/>
          <w:szCs w:val="28"/>
        </w:rPr>
        <w:t>СОГБУ "</w:t>
      </w:r>
      <w:proofErr w:type="spellStart"/>
      <w:r w:rsidRPr="008749CB">
        <w:rPr>
          <w:sz w:val="28"/>
          <w:szCs w:val="28"/>
        </w:rPr>
        <w:t>Смоленскавтодор</w:t>
      </w:r>
      <w:proofErr w:type="spellEnd"/>
      <w:r w:rsidRPr="008749CB">
        <w:rPr>
          <w:sz w:val="28"/>
          <w:szCs w:val="28"/>
        </w:rPr>
        <w:t>" объем инвестиций в основной капитал составил 21 млн. 772 тыс. руб.</w:t>
      </w:r>
      <w:r w:rsidRPr="008749CB">
        <w:rPr>
          <w:sz w:val="28"/>
          <w:szCs w:val="28"/>
          <w:shd w:val="clear" w:color="auto" w:fill="FFFFFF"/>
        </w:rPr>
        <w:t xml:space="preserve"> </w:t>
      </w:r>
      <w:r w:rsidRPr="008749CB">
        <w:rPr>
          <w:sz w:val="28"/>
          <w:szCs w:val="28"/>
        </w:rPr>
        <w:t>В Починковском районе прошел ремонт 4,89 км дороги </w:t>
      </w:r>
      <w:r w:rsidRPr="008749CB">
        <w:rPr>
          <w:bCs/>
          <w:sz w:val="28"/>
          <w:szCs w:val="28"/>
        </w:rPr>
        <w:t>Р-120-Старинки</w:t>
      </w:r>
      <w:r w:rsidRPr="008749CB">
        <w:rPr>
          <w:sz w:val="28"/>
          <w:szCs w:val="28"/>
        </w:rPr>
        <w:t>.</w:t>
      </w:r>
    </w:p>
    <w:p w:rsidR="00976D12" w:rsidRDefault="00976D12" w:rsidP="00976D12">
      <w:pPr>
        <w:ind w:firstLine="709"/>
        <w:jc w:val="both"/>
        <w:rPr>
          <w:sz w:val="28"/>
          <w:szCs w:val="28"/>
        </w:rPr>
      </w:pPr>
      <w:proofErr w:type="gramStart"/>
      <w:r>
        <w:rPr>
          <w:sz w:val="28"/>
          <w:szCs w:val="28"/>
        </w:rPr>
        <w:t>В 2020 году прогнозируется снижение объема инвестиций по сравнению в 2019 годом на 32,7%. Сокращение  объема инвестиций связано с окончанием реализации инвестиционных проектов сельскохозяйственными производителями – ЗАО «Тропарево»  - «</w:t>
      </w:r>
      <w:r w:rsidRPr="003C5696">
        <w:rPr>
          <w:sz w:val="28"/>
          <w:szCs w:val="28"/>
        </w:rPr>
        <w:t>Реконструкция фермы для содержания овец, приобретение с/х техники для модернизации действующего производства</w:t>
      </w:r>
      <w:r>
        <w:rPr>
          <w:sz w:val="28"/>
          <w:szCs w:val="28"/>
        </w:rPr>
        <w:t xml:space="preserve">», ООО «Смоленское поле» - «Расширение действующего производства», ООО «Брянская мясная компания» - </w:t>
      </w:r>
      <w:r w:rsidRPr="003C5696">
        <w:rPr>
          <w:sz w:val="28"/>
          <w:szCs w:val="28"/>
        </w:rPr>
        <w:t>"Строительство животноводческих комплексов (ферм) по содержанию крупного рогатого скота"</w:t>
      </w:r>
      <w:r>
        <w:rPr>
          <w:sz w:val="28"/>
          <w:szCs w:val="28"/>
        </w:rPr>
        <w:t xml:space="preserve">. </w:t>
      </w:r>
      <w:proofErr w:type="gramEnd"/>
    </w:p>
    <w:p w:rsidR="00976D12" w:rsidRDefault="00976D12" w:rsidP="00976D12">
      <w:pPr>
        <w:ind w:firstLine="709"/>
        <w:jc w:val="both"/>
        <w:rPr>
          <w:sz w:val="28"/>
          <w:szCs w:val="28"/>
        </w:rPr>
      </w:pPr>
    </w:p>
    <w:p w:rsidR="00976D12" w:rsidRDefault="00976D12" w:rsidP="00976D12">
      <w:pPr>
        <w:ind w:firstLine="709"/>
        <w:jc w:val="both"/>
        <w:rPr>
          <w:sz w:val="28"/>
          <w:szCs w:val="28"/>
        </w:rPr>
      </w:pPr>
      <w:r>
        <w:rPr>
          <w:sz w:val="28"/>
          <w:szCs w:val="28"/>
        </w:rPr>
        <w:t xml:space="preserve">В прогнозном периоде объем инвестиций составит в 2020 году – 892,6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в 2021 году  - 248,4 </w:t>
      </w:r>
      <w:proofErr w:type="spellStart"/>
      <w:r>
        <w:rPr>
          <w:sz w:val="28"/>
          <w:szCs w:val="28"/>
        </w:rPr>
        <w:t>млн.руб</w:t>
      </w:r>
      <w:proofErr w:type="spellEnd"/>
      <w:r>
        <w:rPr>
          <w:sz w:val="28"/>
          <w:szCs w:val="28"/>
        </w:rPr>
        <w:t xml:space="preserve">., в 2022 году – 522,2 </w:t>
      </w:r>
      <w:proofErr w:type="spellStart"/>
      <w:r>
        <w:rPr>
          <w:sz w:val="28"/>
          <w:szCs w:val="28"/>
        </w:rPr>
        <w:t>млн.руб</w:t>
      </w:r>
      <w:proofErr w:type="spellEnd"/>
      <w:r>
        <w:rPr>
          <w:sz w:val="28"/>
          <w:szCs w:val="28"/>
        </w:rPr>
        <w:t xml:space="preserve">., в 2023 году – 550,5 </w:t>
      </w:r>
      <w:proofErr w:type="spellStart"/>
      <w:r>
        <w:rPr>
          <w:sz w:val="28"/>
          <w:szCs w:val="28"/>
        </w:rPr>
        <w:t>млн.руб</w:t>
      </w:r>
      <w:proofErr w:type="spellEnd"/>
      <w:r>
        <w:rPr>
          <w:sz w:val="28"/>
          <w:szCs w:val="28"/>
        </w:rPr>
        <w:t xml:space="preserve">. Планируется,  что данные  показатели будет достигнуты за счет инвестирования в экономику следующими </w:t>
      </w:r>
      <w:proofErr w:type="spellStart"/>
      <w:r>
        <w:rPr>
          <w:sz w:val="28"/>
          <w:szCs w:val="28"/>
        </w:rPr>
        <w:t>предприятими</w:t>
      </w:r>
      <w:proofErr w:type="spellEnd"/>
      <w:r>
        <w:rPr>
          <w:sz w:val="28"/>
          <w:szCs w:val="28"/>
        </w:rPr>
        <w:t>:</w:t>
      </w:r>
    </w:p>
    <w:p w:rsidR="00976D12" w:rsidRDefault="00976D12" w:rsidP="00976D12">
      <w:pPr>
        <w:ind w:firstLine="709"/>
        <w:jc w:val="both"/>
        <w:rPr>
          <w:sz w:val="28"/>
          <w:szCs w:val="28"/>
        </w:rPr>
      </w:pPr>
      <w:r>
        <w:rPr>
          <w:sz w:val="28"/>
          <w:szCs w:val="28"/>
        </w:rPr>
        <w:t xml:space="preserve">- ООО «Славянский продукт» - 147,6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 строительство комбикормового завода. Ввод в эксплуатацию в текущем году. </w:t>
      </w:r>
    </w:p>
    <w:p w:rsidR="00976D12" w:rsidRDefault="00976D12" w:rsidP="00976D12">
      <w:pPr>
        <w:ind w:firstLine="709"/>
        <w:jc w:val="both"/>
        <w:rPr>
          <w:sz w:val="28"/>
          <w:szCs w:val="28"/>
        </w:rPr>
      </w:pPr>
      <w:r>
        <w:rPr>
          <w:sz w:val="28"/>
          <w:szCs w:val="28"/>
        </w:rPr>
        <w:t xml:space="preserve">ООО «Починковская швейная фабрика» - 210,0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 строительство новой швейной фабрики, ввод в эксплуатацию в текущем году. В дальнейшем предприятием планируется ежегодно по 10,0 </w:t>
      </w:r>
      <w:proofErr w:type="spellStart"/>
      <w:r>
        <w:rPr>
          <w:sz w:val="28"/>
          <w:szCs w:val="28"/>
        </w:rPr>
        <w:t>млн</w:t>
      </w:r>
      <w:proofErr w:type="gramStart"/>
      <w:r>
        <w:rPr>
          <w:sz w:val="28"/>
          <w:szCs w:val="28"/>
        </w:rPr>
        <w:t>.р</w:t>
      </w:r>
      <w:proofErr w:type="gramEnd"/>
      <w:r>
        <w:rPr>
          <w:sz w:val="28"/>
          <w:szCs w:val="28"/>
        </w:rPr>
        <w:t>ублей</w:t>
      </w:r>
      <w:proofErr w:type="spellEnd"/>
      <w:r>
        <w:rPr>
          <w:sz w:val="28"/>
          <w:szCs w:val="28"/>
        </w:rPr>
        <w:t xml:space="preserve"> направлять на переоборудование производства.</w:t>
      </w:r>
    </w:p>
    <w:p w:rsidR="00976D12" w:rsidRDefault="00976D12" w:rsidP="00976D12">
      <w:pPr>
        <w:ind w:firstLine="709"/>
        <w:jc w:val="both"/>
        <w:rPr>
          <w:sz w:val="28"/>
          <w:szCs w:val="28"/>
        </w:rPr>
      </w:pPr>
      <w:r>
        <w:rPr>
          <w:sz w:val="28"/>
          <w:szCs w:val="28"/>
        </w:rPr>
        <w:t xml:space="preserve">- ООО «Брянская мясная компания» - планируемые вложения в основное стадо и </w:t>
      </w:r>
      <w:proofErr w:type="spellStart"/>
      <w:r>
        <w:rPr>
          <w:sz w:val="28"/>
          <w:szCs w:val="28"/>
        </w:rPr>
        <w:t>доращивание</w:t>
      </w:r>
      <w:proofErr w:type="spellEnd"/>
      <w:r>
        <w:rPr>
          <w:sz w:val="28"/>
          <w:szCs w:val="28"/>
        </w:rPr>
        <w:t xml:space="preserve"> основного стада по годам составят: 2020 год – 19,5 </w:t>
      </w:r>
      <w:proofErr w:type="spellStart"/>
      <w:r>
        <w:rPr>
          <w:sz w:val="28"/>
          <w:szCs w:val="28"/>
        </w:rPr>
        <w:t>млн</w:t>
      </w:r>
      <w:proofErr w:type="gramStart"/>
      <w:r>
        <w:rPr>
          <w:sz w:val="28"/>
          <w:szCs w:val="28"/>
        </w:rPr>
        <w:t>.р</w:t>
      </w:r>
      <w:proofErr w:type="gramEnd"/>
      <w:r>
        <w:rPr>
          <w:sz w:val="28"/>
          <w:szCs w:val="28"/>
        </w:rPr>
        <w:t>ублей</w:t>
      </w:r>
      <w:proofErr w:type="spellEnd"/>
      <w:r>
        <w:rPr>
          <w:sz w:val="28"/>
          <w:szCs w:val="28"/>
        </w:rPr>
        <w:t xml:space="preserve">, 2021 год – 21,9 </w:t>
      </w:r>
      <w:proofErr w:type="spellStart"/>
      <w:r>
        <w:rPr>
          <w:sz w:val="28"/>
          <w:szCs w:val="28"/>
        </w:rPr>
        <w:t>млн.рублей</w:t>
      </w:r>
      <w:proofErr w:type="spellEnd"/>
      <w:r>
        <w:rPr>
          <w:sz w:val="28"/>
          <w:szCs w:val="28"/>
        </w:rPr>
        <w:t xml:space="preserve">, 2022 год – 24,4  </w:t>
      </w:r>
      <w:proofErr w:type="spellStart"/>
      <w:r>
        <w:rPr>
          <w:sz w:val="28"/>
          <w:szCs w:val="28"/>
        </w:rPr>
        <w:t>млн.рублей</w:t>
      </w:r>
      <w:proofErr w:type="spellEnd"/>
      <w:r>
        <w:rPr>
          <w:sz w:val="28"/>
          <w:szCs w:val="28"/>
        </w:rPr>
        <w:t xml:space="preserve">, 2023 год – 27,3 </w:t>
      </w:r>
      <w:proofErr w:type="spellStart"/>
      <w:r>
        <w:rPr>
          <w:sz w:val="28"/>
          <w:szCs w:val="28"/>
        </w:rPr>
        <w:t>млн.руб</w:t>
      </w:r>
      <w:proofErr w:type="spellEnd"/>
      <w:r>
        <w:rPr>
          <w:sz w:val="28"/>
          <w:szCs w:val="28"/>
        </w:rPr>
        <w:t xml:space="preserve">. </w:t>
      </w:r>
    </w:p>
    <w:p w:rsidR="00976D12" w:rsidRDefault="00976D12" w:rsidP="00976D12">
      <w:pPr>
        <w:ind w:firstLine="709"/>
        <w:jc w:val="both"/>
        <w:rPr>
          <w:sz w:val="28"/>
          <w:szCs w:val="28"/>
        </w:rPr>
      </w:pPr>
      <w:r>
        <w:rPr>
          <w:sz w:val="28"/>
          <w:szCs w:val="28"/>
        </w:rPr>
        <w:t xml:space="preserve">-ЗАО  «Тропарево» - в 2020 году планируется строительство двух силосов, в дальнейшем ежегодно приобретение с/х техники и оборудования; </w:t>
      </w:r>
    </w:p>
    <w:p w:rsidR="00976D12" w:rsidRDefault="00976D12" w:rsidP="00976D12">
      <w:pPr>
        <w:ind w:firstLine="709"/>
        <w:jc w:val="both"/>
        <w:rPr>
          <w:sz w:val="28"/>
          <w:szCs w:val="28"/>
        </w:rPr>
      </w:pPr>
      <w:r>
        <w:rPr>
          <w:sz w:val="28"/>
          <w:szCs w:val="28"/>
        </w:rPr>
        <w:t xml:space="preserve">- ООО «Смоленское поле» планируется ежегодно направлять по 10,0 </w:t>
      </w:r>
      <w:proofErr w:type="spellStart"/>
      <w:r>
        <w:rPr>
          <w:sz w:val="28"/>
          <w:szCs w:val="28"/>
        </w:rPr>
        <w:t>млн</w:t>
      </w:r>
      <w:proofErr w:type="gramStart"/>
      <w:r>
        <w:rPr>
          <w:sz w:val="28"/>
          <w:szCs w:val="28"/>
        </w:rPr>
        <w:t>.р</w:t>
      </w:r>
      <w:proofErr w:type="gramEnd"/>
      <w:r>
        <w:rPr>
          <w:sz w:val="28"/>
          <w:szCs w:val="28"/>
        </w:rPr>
        <w:t>ублей</w:t>
      </w:r>
      <w:proofErr w:type="spellEnd"/>
      <w:r>
        <w:rPr>
          <w:sz w:val="28"/>
          <w:szCs w:val="28"/>
        </w:rPr>
        <w:t xml:space="preserve"> на приобретение оборудования и перевод молодняка в основное стадо в 2020-2021 гг., по 20,0 </w:t>
      </w:r>
      <w:proofErr w:type="spellStart"/>
      <w:r>
        <w:rPr>
          <w:sz w:val="28"/>
          <w:szCs w:val="28"/>
        </w:rPr>
        <w:t>млн.руб</w:t>
      </w:r>
      <w:proofErr w:type="spellEnd"/>
      <w:r>
        <w:rPr>
          <w:sz w:val="28"/>
          <w:szCs w:val="28"/>
        </w:rPr>
        <w:t>. – в 2022-2023 гг.;</w:t>
      </w:r>
    </w:p>
    <w:p w:rsidR="00976D12" w:rsidRDefault="00976D12" w:rsidP="00976D12">
      <w:pPr>
        <w:ind w:firstLine="709"/>
        <w:jc w:val="both"/>
        <w:rPr>
          <w:sz w:val="28"/>
          <w:szCs w:val="28"/>
        </w:rPr>
      </w:pPr>
      <w:r>
        <w:rPr>
          <w:sz w:val="28"/>
          <w:szCs w:val="28"/>
        </w:rPr>
        <w:t xml:space="preserve">- СППК «Васьковский» - в течение 2020 года  планирует закончить реализацию инвестиционного проекта по реконструкции молочного  цеха д. Васьково, объем инвестиций в 2020 году  составит 2,6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w:t>
      </w:r>
    </w:p>
    <w:p w:rsidR="00976D12" w:rsidRDefault="00976D12" w:rsidP="00976D12">
      <w:pPr>
        <w:ind w:firstLine="900"/>
        <w:jc w:val="both"/>
        <w:rPr>
          <w:b/>
          <w:i/>
          <w:sz w:val="28"/>
          <w:szCs w:val="28"/>
        </w:rPr>
      </w:pPr>
    </w:p>
    <w:p w:rsidR="00976D12" w:rsidRDefault="00976D12" w:rsidP="00976D12">
      <w:pPr>
        <w:ind w:firstLine="900"/>
        <w:jc w:val="both"/>
        <w:rPr>
          <w:b/>
          <w:i/>
          <w:sz w:val="28"/>
          <w:szCs w:val="28"/>
        </w:rPr>
      </w:pPr>
      <w:r w:rsidRPr="00FA4870">
        <w:rPr>
          <w:b/>
          <w:i/>
          <w:sz w:val="28"/>
          <w:szCs w:val="28"/>
        </w:rPr>
        <w:t xml:space="preserve">В прогнозном периоде за счет бюджетных  средств планируются к </w:t>
      </w:r>
      <w:proofErr w:type="gramStart"/>
      <w:r w:rsidRPr="00FA4870">
        <w:rPr>
          <w:b/>
          <w:i/>
          <w:sz w:val="28"/>
          <w:szCs w:val="28"/>
        </w:rPr>
        <w:t>реализации</w:t>
      </w:r>
      <w:proofErr w:type="gramEnd"/>
      <w:r w:rsidRPr="00FA4870">
        <w:rPr>
          <w:b/>
          <w:i/>
          <w:sz w:val="28"/>
          <w:szCs w:val="28"/>
        </w:rPr>
        <w:t xml:space="preserve"> следующие инвестиционные проекты: </w:t>
      </w:r>
    </w:p>
    <w:p w:rsidR="00976D12" w:rsidRDefault="00976D12" w:rsidP="00976D12">
      <w:pPr>
        <w:spacing w:after="200" w:line="276" w:lineRule="auto"/>
        <w:ind w:firstLine="851"/>
        <w:jc w:val="both"/>
        <w:rPr>
          <w:sz w:val="28"/>
          <w:szCs w:val="28"/>
        </w:rPr>
      </w:pPr>
      <w:r w:rsidRPr="00793571">
        <w:rPr>
          <w:sz w:val="28"/>
          <w:szCs w:val="28"/>
        </w:rPr>
        <w:t xml:space="preserve">- </w:t>
      </w:r>
      <w:r w:rsidRPr="00793571">
        <w:rPr>
          <w:b/>
          <w:sz w:val="28"/>
          <w:szCs w:val="28"/>
        </w:rPr>
        <w:t>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w:t>
      </w:r>
      <w:r w:rsidRPr="00793571">
        <w:rPr>
          <w:sz w:val="28"/>
          <w:szCs w:val="28"/>
        </w:rPr>
        <w:t xml:space="preserve"> </w:t>
      </w:r>
      <w:r w:rsidRPr="00ED5661">
        <w:rPr>
          <w:b/>
          <w:sz w:val="28"/>
          <w:szCs w:val="28"/>
        </w:rPr>
        <w:t>в 2020 году</w:t>
      </w:r>
      <w:r>
        <w:rPr>
          <w:sz w:val="28"/>
          <w:szCs w:val="28"/>
        </w:rPr>
        <w:t xml:space="preserve"> </w:t>
      </w:r>
      <w:r w:rsidRPr="00793571">
        <w:rPr>
          <w:sz w:val="28"/>
          <w:szCs w:val="28"/>
        </w:rPr>
        <w:t xml:space="preserve">планируется направить в экономику района – 154666,48 </w:t>
      </w:r>
      <w:proofErr w:type="spellStart"/>
      <w:r w:rsidRPr="00793571">
        <w:rPr>
          <w:sz w:val="28"/>
          <w:szCs w:val="28"/>
        </w:rPr>
        <w:t>млн</w:t>
      </w:r>
      <w:proofErr w:type="gramStart"/>
      <w:r w:rsidRPr="00793571">
        <w:rPr>
          <w:sz w:val="28"/>
          <w:szCs w:val="28"/>
        </w:rPr>
        <w:t>.р</w:t>
      </w:r>
      <w:proofErr w:type="gramEnd"/>
      <w:r w:rsidRPr="00793571">
        <w:rPr>
          <w:sz w:val="28"/>
          <w:szCs w:val="28"/>
        </w:rPr>
        <w:t>уб</w:t>
      </w:r>
      <w:proofErr w:type="spellEnd"/>
      <w:r w:rsidRPr="00793571">
        <w:rPr>
          <w:sz w:val="28"/>
          <w:szCs w:val="28"/>
        </w:rPr>
        <w:t xml:space="preserve">., в </w:t>
      </w:r>
      <w:proofErr w:type="spellStart"/>
      <w:r w:rsidRPr="00793571">
        <w:rPr>
          <w:sz w:val="28"/>
          <w:szCs w:val="28"/>
        </w:rPr>
        <w:t>т.ч</w:t>
      </w:r>
      <w:proofErr w:type="spellEnd"/>
      <w:r w:rsidRPr="00793571">
        <w:rPr>
          <w:sz w:val="28"/>
          <w:szCs w:val="28"/>
        </w:rPr>
        <w:t xml:space="preserve">. газификация жилой зоны восточной части д. </w:t>
      </w:r>
      <w:proofErr w:type="spellStart"/>
      <w:r w:rsidRPr="00793571">
        <w:rPr>
          <w:sz w:val="28"/>
          <w:szCs w:val="28"/>
        </w:rPr>
        <w:t>Стригино</w:t>
      </w:r>
      <w:proofErr w:type="spellEnd"/>
      <w:r w:rsidRPr="00793571">
        <w:rPr>
          <w:sz w:val="28"/>
          <w:szCs w:val="28"/>
        </w:rPr>
        <w:t xml:space="preserve"> Ленинского сельского поселения – 702,78 </w:t>
      </w:r>
      <w:proofErr w:type="spellStart"/>
      <w:r w:rsidRPr="00793571">
        <w:rPr>
          <w:sz w:val="28"/>
          <w:szCs w:val="28"/>
        </w:rPr>
        <w:t>млн.руб</w:t>
      </w:r>
      <w:proofErr w:type="spellEnd"/>
      <w:r w:rsidRPr="00793571">
        <w:rPr>
          <w:sz w:val="28"/>
          <w:szCs w:val="28"/>
        </w:rPr>
        <w:t xml:space="preserve">., строительство </w:t>
      </w:r>
      <w:proofErr w:type="spellStart"/>
      <w:r w:rsidRPr="00793571">
        <w:rPr>
          <w:sz w:val="28"/>
          <w:szCs w:val="28"/>
        </w:rPr>
        <w:t>блочно</w:t>
      </w:r>
      <w:proofErr w:type="spellEnd"/>
      <w:r w:rsidRPr="00793571">
        <w:rPr>
          <w:sz w:val="28"/>
          <w:szCs w:val="28"/>
        </w:rPr>
        <w:t xml:space="preserve">-модульной котельной с тепловыми сетями в д. </w:t>
      </w:r>
      <w:proofErr w:type="spellStart"/>
      <w:r w:rsidRPr="00793571">
        <w:rPr>
          <w:sz w:val="28"/>
          <w:szCs w:val="28"/>
        </w:rPr>
        <w:t>Даньково</w:t>
      </w:r>
      <w:proofErr w:type="spellEnd"/>
      <w:r w:rsidRPr="00793571">
        <w:rPr>
          <w:sz w:val="28"/>
          <w:szCs w:val="28"/>
        </w:rPr>
        <w:t xml:space="preserve"> – 17039,27 млн. руб.,  водоснабжение д. Льнозавод Шаталовского сельского поселения Починковского  района Смоленской области - 6 250,75 </w:t>
      </w:r>
      <w:proofErr w:type="spellStart"/>
      <w:r w:rsidRPr="00793571">
        <w:rPr>
          <w:sz w:val="28"/>
          <w:szCs w:val="28"/>
        </w:rPr>
        <w:t>млн</w:t>
      </w:r>
      <w:proofErr w:type="gramStart"/>
      <w:r w:rsidRPr="00793571">
        <w:rPr>
          <w:sz w:val="28"/>
          <w:szCs w:val="28"/>
        </w:rPr>
        <w:t>.р</w:t>
      </w:r>
      <w:proofErr w:type="gramEnd"/>
      <w:r w:rsidRPr="00793571">
        <w:rPr>
          <w:sz w:val="28"/>
          <w:szCs w:val="28"/>
        </w:rPr>
        <w:t>уб</w:t>
      </w:r>
      <w:proofErr w:type="spellEnd"/>
      <w:r w:rsidRPr="00793571">
        <w:rPr>
          <w:sz w:val="28"/>
          <w:szCs w:val="28"/>
        </w:rPr>
        <w:t xml:space="preserve">., строительство жилого помещения (жилого дома), предоставляемого гражданам по договору найма жилого помещения, д. </w:t>
      </w:r>
      <w:proofErr w:type="spellStart"/>
      <w:r w:rsidRPr="00793571">
        <w:rPr>
          <w:sz w:val="28"/>
          <w:szCs w:val="28"/>
        </w:rPr>
        <w:t>Шаталово</w:t>
      </w:r>
      <w:proofErr w:type="spellEnd"/>
      <w:r w:rsidRPr="00793571">
        <w:rPr>
          <w:sz w:val="28"/>
          <w:szCs w:val="28"/>
        </w:rPr>
        <w:t xml:space="preserve"> -    5 010,26 </w:t>
      </w:r>
      <w:proofErr w:type="spellStart"/>
      <w:r w:rsidRPr="00793571">
        <w:rPr>
          <w:sz w:val="28"/>
          <w:szCs w:val="28"/>
        </w:rPr>
        <w:t>млн.руб</w:t>
      </w:r>
      <w:proofErr w:type="spellEnd"/>
      <w:r w:rsidRPr="00793571">
        <w:rPr>
          <w:sz w:val="28"/>
          <w:szCs w:val="28"/>
        </w:rPr>
        <w:t>.,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w:t>
      </w:r>
      <w:r>
        <w:rPr>
          <w:sz w:val="28"/>
          <w:szCs w:val="28"/>
        </w:rPr>
        <w:t xml:space="preserve">, </w:t>
      </w:r>
      <w:r w:rsidRPr="00793571">
        <w:rPr>
          <w:sz w:val="28"/>
          <w:szCs w:val="28"/>
        </w:rPr>
        <w:t>объектам производства и переработки продукции (</w:t>
      </w:r>
      <w:proofErr w:type="spellStart"/>
      <w:r w:rsidRPr="00793571">
        <w:rPr>
          <w:sz w:val="28"/>
          <w:szCs w:val="28"/>
        </w:rPr>
        <w:t>Шаталовское</w:t>
      </w:r>
      <w:proofErr w:type="spellEnd"/>
      <w:r w:rsidRPr="00793571">
        <w:rPr>
          <w:sz w:val="28"/>
          <w:szCs w:val="28"/>
        </w:rPr>
        <w:t xml:space="preserve"> сельское поселение, </w:t>
      </w:r>
      <w:proofErr w:type="spellStart"/>
      <w:r w:rsidRPr="00793571">
        <w:rPr>
          <w:sz w:val="28"/>
          <w:szCs w:val="28"/>
        </w:rPr>
        <w:t>д</w:t>
      </w:r>
      <w:proofErr w:type="gramStart"/>
      <w:r w:rsidRPr="00793571">
        <w:rPr>
          <w:sz w:val="28"/>
          <w:szCs w:val="28"/>
        </w:rPr>
        <w:t>.С</w:t>
      </w:r>
      <w:proofErr w:type="gramEnd"/>
      <w:r w:rsidRPr="00793571">
        <w:rPr>
          <w:sz w:val="28"/>
          <w:szCs w:val="28"/>
        </w:rPr>
        <w:t>еминово</w:t>
      </w:r>
      <w:proofErr w:type="spellEnd"/>
      <w:r w:rsidRPr="00793571">
        <w:rPr>
          <w:sz w:val="28"/>
          <w:szCs w:val="28"/>
        </w:rPr>
        <w:t xml:space="preserve">) –  110 728,70 </w:t>
      </w:r>
      <w:proofErr w:type="spellStart"/>
      <w:r w:rsidRPr="00793571">
        <w:rPr>
          <w:sz w:val="28"/>
          <w:szCs w:val="28"/>
        </w:rPr>
        <w:t>млн.руб</w:t>
      </w:r>
      <w:proofErr w:type="spellEnd"/>
      <w:r w:rsidRPr="00793571">
        <w:rPr>
          <w:sz w:val="28"/>
          <w:szCs w:val="28"/>
        </w:rPr>
        <w:t xml:space="preserve">., строительство спортивной площадки по адресу: Смоленская область, Починковский район, д. </w:t>
      </w:r>
      <w:proofErr w:type="spellStart"/>
      <w:r w:rsidRPr="00793571">
        <w:rPr>
          <w:sz w:val="28"/>
          <w:szCs w:val="28"/>
        </w:rPr>
        <w:t>Шаталово</w:t>
      </w:r>
      <w:proofErr w:type="spellEnd"/>
      <w:r w:rsidRPr="00793571">
        <w:rPr>
          <w:sz w:val="28"/>
          <w:szCs w:val="28"/>
        </w:rPr>
        <w:t xml:space="preserve">, д.10 - 7 895,21 </w:t>
      </w:r>
      <w:proofErr w:type="spellStart"/>
      <w:r w:rsidRPr="00793571">
        <w:rPr>
          <w:sz w:val="28"/>
          <w:szCs w:val="28"/>
        </w:rPr>
        <w:t>млн</w:t>
      </w:r>
      <w:proofErr w:type="gramStart"/>
      <w:r w:rsidRPr="00793571">
        <w:rPr>
          <w:sz w:val="28"/>
          <w:szCs w:val="28"/>
        </w:rPr>
        <w:t>.р</w:t>
      </w:r>
      <w:proofErr w:type="gramEnd"/>
      <w:r w:rsidRPr="00793571">
        <w:rPr>
          <w:sz w:val="28"/>
          <w:szCs w:val="28"/>
        </w:rPr>
        <w:t>уб</w:t>
      </w:r>
      <w:proofErr w:type="spellEnd"/>
      <w:r w:rsidRPr="00793571">
        <w:rPr>
          <w:sz w:val="28"/>
          <w:szCs w:val="28"/>
        </w:rPr>
        <w:t xml:space="preserve">., строительство водозаборного сооружения и сетей водоснабжения в п. Стодолище, Стодолищенского сельского поселения Починковского района Смоленской области - 4 388,88 </w:t>
      </w:r>
      <w:proofErr w:type="spellStart"/>
      <w:r w:rsidRPr="00793571">
        <w:rPr>
          <w:sz w:val="28"/>
          <w:szCs w:val="28"/>
        </w:rPr>
        <w:t>млн.руб</w:t>
      </w:r>
      <w:proofErr w:type="spellEnd"/>
      <w:r w:rsidRPr="00793571">
        <w:rPr>
          <w:sz w:val="28"/>
          <w:szCs w:val="28"/>
        </w:rPr>
        <w:t>.</w:t>
      </w:r>
      <w:r>
        <w:rPr>
          <w:sz w:val="28"/>
          <w:szCs w:val="28"/>
        </w:rPr>
        <w:t>;</w:t>
      </w:r>
    </w:p>
    <w:p w:rsidR="00976D12" w:rsidRPr="00CB2DDF" w:rsidRDefault="00976D12" w:rsidP="00976D12">
      <w:pPr>
        <w:jc w:val="both"/>
        <w:rPr>
          <w:sz w:val="28"/>
          <w:szCs w:val="28"/>
        </w:rPr>
      </w:pPr>
      <w:r w:rsidRPr="00CB2DDF">
        <w:rPr>
          <w:b/>
          <w:sz w:val="28"/>
          <w:szCs w:val="28"/>
        </w:rPr>
        <w:t>- в рамках реализации областной адресной инвестиционной программы</w:t>
      </w:r>
      <w:r>
        <w:rPr>
          <w:sz w:val="28"/>
          <w:szCs w:val="28"/>
        </w:rPr>
        <w:t xml:space="preserve"> планируется р</w:t>
      </w:r>
      <w:r w:rsidRPr="00661198">
        <w:rPr>
          <w:sz w:val="28"/>
          <w:szCs w:val="28"/>
        </w:rPr>
        <w:t xml:space="preserve">еконструкция автомобильной дороги "Брянск - Смоленск до границы Республики Беларусь (через Рудню, на Витебск)" - </w:t>
      </w:r>
      <w:proofErr w:type="spellStart"/>
      <w:r w:rsidRPr="00661198">
        <w:rPr>
          <w:sz w:val="28"/>
          <w:szCs w:val="28"/>
        </w:rPr>
        <w:t>Тростино</w:t>
      </w:r>
      <w:proofErr w:type="spellEnd"/>
      <w:r w:rsidRPr="00661198">
        <w:rPr>
          <w:sz w:val="28"/>
          <w:szCs w:val="28"/>
        </w:rPr>
        <w:t xml:space="preserve"> - </w:t>
      </w:r>
      <w:proofErr w:type="spellStart"/>
      <w:r w:rsidRPr="00661198">
        <w:rPr>
          <w:sz w:val="28"/>
          <w:szCs w:val="28"/>
        </w:rPr>
        <w:t>Петрополье</w:t>
      </w:r>
      <w:proofErr w:type="spellEnd"/>
      <w:r w:rsidRPr="00661198">
        <w:rPr>
          <w:sz w:val="28"/>
          <w:szCs w:val="28"/>
        </w:rPr>
        <w:t xml:space="preserve"> - Хиславичи" - </w:t>
      </w:r>
      <w:proofErr w:type="spellStart"/>
      <w:r w:rsidRPr="00661198">
        <w:rPr>
          <w:sz w:val="28"/>
          <w:szCs w:val="28"/>
        </w:rPr>
        <w:t>Думаничи</w:t>
      </w:r>
      <w:proofErr w:type="spellEnd"/>
      <w:r w:rsidRPr="00661198">
        <w:rPr>
          <w:sz w:val="28"/>
          <w:szCs w:val="28"/>
        </w:rPr>
        <w:t xml:space="preserve"> - </w:t>
      </w:r>
      <w:proofErr w:type="spellStart"/>
      <w:r w:rsidRPr="00661198">
        <w:rPr>
          <w:sz w:val="28"/>
          <w:szCs w:val="28"/>
        </w:rPr>
        <w:t>Торчиловка</w:t>
      </w:r>
      <w:proofErr w:type="spellEnd"/>
      <w:r w:rsidRPr="00661198">
        <w:rPr>
          <w:sz w:val="28"/>
          <w:szCs w:val="28"/>
        </w:rPr>
        <w:t xml:space="preserve"> - </w:t>
      </w:r>
      <w:proofErr w:type="spellStart"/>
      <w:r w:rsidRPr="00661198">
        <w:rPr>
          <w:sz w:val="28"/>
          <w:szCs w:val="28"/>
        </w:rPr>
        <w:t>Шанталово</w:t>
      </w:r>
      <w:proofErr w:type="spellEnd"/>
      <w:r w:rsidRPr="00661198">
        <w:rPr>
          <w:sz w:val="28"/>
          <w:szCs w:val="28"/>
        </w:rPr>
        <w:t xml:space="preserve"> в Починковском районе Смоленской области на участке км 2 + 345 - км 6 + 045</w:t>
      </w:r>
      <w:r>
        <w:rPr>
          <w:sz w:val="28"/>
          <w:szCs w:val="28"/>
        </w:rPr>
        <w:t xml:space="preserve"> – на сумму 171398,1</w:t>
      </w:r>
      <w:r w:rsidRPr="00CB2DDF">
        <w:rPr>
          <w:sz w:val="28"/>
          <w:szCs w:val="28"/>
        </w:rPr>
        <w:t xml:space="preserve">  </w:t>
      </w:r>
      <w:proofErr w:type="spellStart"/>
      <w:r w:rsidRPr="00CB2DDF">
        <w:rPr>
          <w:sz w:val="28"/>
          <w:szCs w:val="28"/>
        </w:rPr>
        <w:t>млн</w:t>
      </w:r>
      <w:proofErr w:type="gramStart"/>
      <w:r w:rsidRPr="00CB2DDF">
        <w:rPr>
          <w:sz w:val="28"/>
          <w:szCs w:val="28"/>
        </w:rPr>
        <w:t>.р</w:t>
      </w:r>
      <w:proofErr w:type="gramEnd"/>
      <w:r w:rsidRPr="00CB2DDF">
        <w:rPr>
          <w:sz w:val="28"/>
          <w:szCs w:val="28"/>
        </w:rPr>
        <w:t>уб</w:t>
      </w:r>
      <w:proofErr w:type="spellEnd"/>
      <w:r w:rsidRPr="00CB2DDF">
        <w:rPr>
          <w:sz w:val="28"/>
          <w:szCs w:val="28"/>
        </w:rPr>
        <w:t>.</w:t>
      </w:r>
    </w:p>
    <w:p w:rsidR="00976D12" w:rsidRDefault="00976D12" w:rsidP="00976D12">
      <w:pPr>
        <w:spacing w:after="200" w:line="276" w:lineRule="auto"/>
        <w:ind w:firstLine="851"/>
        <w:jc w:val="both"/>
        <w:rPr>
          <w:sz w:val="28"/>
          <w:szCs w:val="28"/>
        </w:rPr>
      </w:pPr>
      <w:r>
        <w:rPr>
          <w:sz w:val="28"/>
          <w:szCs w:val="28"/>
        </w:rPr>
        <w:t xml:space="preserve">- </w:t>
      </w:r>
      <w:r w:rsidRPr="001B59B0">
        <w:rPr>
          <w:sz w:val="28"/>
          <w:szCs w:val="28"/>
        </w:rPr>
        <w:t xml:space="preserve"> </w:t>
      </w:r>
      <w:r w:rsidRPr="00CB2DDF">
        <w:rPr>
          <w:b/>
          <w:sz w:val="28"/>
          <w:szCs w:val="28"/>
        </w:rPr>
        <w:t>в рамках реализации государственной программы «Комплексное развитие сельских территорий» в 2020</w:t>
      </w:r>
      <w:r>
        <w:rPr>
          <w:sz w:val="28"/>
          <w:szCs w:val="28"/>
        </w:rPr>
        <w:t xml:space="preserve"> </w:t>
      </w:r>
      <w:r w:rsidRPr="00CB2DDF">
        <w:rPr>
          <w:b/>
          <w:sz w:val="28"/>
          <w:szCs w:val="28"/>
        </w:rPr>
        <w:t>году</w:t>
      </w:r>
      <w:r>
        <w:rPr>
          <w:sz w:val="28"/>
          <w:szCs w:val="28"/>
        </w:rPr>
        <w:t xml:space="preserve"> планируется  строительство спортивной площадки п. Шаталово-1 – 7892,2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перевод 61 квартиры на газовое отопление д. </w:t>
      </w:r>
      <w:proofErr w:type="spellStart"/>
      <w:r>
        <w:rPr>
          <w:sz w:val="28"/>
          <w:szCs w:val="28"/>
        </w:rPr>
        <w:t>Даньково</w:t>
      </w:r>
      <w:proofErr w:type="spellEnd"/>
      <w:r>
        <w:rPr>
          <w:sz w:val="28"/>
          <w:szCs w:val="28"/>
        </w:rPr>
        <w:t xml:space="preserve"> – 17982,9 </w:t>
      </w:r>
      <w:proofErr w:type="spellStart"/>
      <w:r>
        <w:rPr>
          <w:sz w:val="28"/>
          <w:szCs w:val="28"/>
        </w:rPr>
        <w:t>млн.руб</w:t>
      </w:r>
      <w:proofErr w:type="spellEnd"/>
      <w:r>
        <w:rPr>
          <w:sz w:val="28"/>
          <w:szCs w:val="28"/>
        </w:rPr>
        <w:t xml:space="preserve">., создание и обустройство детского игрового комплекса в д. Васьково – 1001,4 </w:t>
      </w:r>
      <w:proofErr w:type="spellStart"/>
      <w:r>
        <w:rPr>
          <w:sz w:val="28"/>
          <w:szCs w:val="28"/>
        </w:rPr>
        <w:t>млн.руб</w:t>
      </w:r>
      <w:proofErr w:type="spellEnd"/>
      <w:r>
        <w:rPr>
          <w:sz w:val="28"/>
          <w:szCs w:val="28"/>
        </w:rPr>
        <w:t xml:space="preserve">., строительство детских площадок в д. Лосня, д. Васьково, д. Прудки;  в 2021 году – газификация ул. Смоленской г. Починок – 1172,89, строительство газопровода  высокого, среднего и низкого давления для жилых домов в д. </w:t>
      </w:r>
      <w:proofErr w:type="spellStart"/>
      <w:r>
        <w:rPr>
          <w:sz w:val="28"/>
          <w:szCs w:val="28"/>
        </w:rPr>
        <w:t>Бесищево</w:t>
      </w:r>
      <w:proofErr w:type="spellEnd"/>
      <w:r>
        <w:rPr>
          <w:sz w:val="28"/>
          <w:szCs w:val="28"/>
        </w:rPr>
        <w:t xml:space="preserve"> Починковского района – 5093,62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газоснабжение жилой зоны д. </w:t>
      </w:r>
      <w:proofErr w:type="spellStart"/>
      <w:r>
        <w:rPr>
          <w:sz w:val="28"/>
          <w:szCs w:val="28"/>
        </w:rPr>
        <w:t>Белик</w:t>
      </w:r>
      <w:proofErr w:type="spellEnd"/>
      <w:r>
        <w:rPr>
          <w:sz w:val="28"/>
          <w:szCs w:val="28"/>
        </w:rPr>
        <w:t xml:space="preserve">, д. </w:t>
      </w:r>
      <w:proofErr w:type="spellStart"/>
      <w:r>
        <w:rPr>
          <w:sz w:val="28"/>
          <w:szCs w:val="28"/>
        </w:rPr>
        <w:t>Саловка</w:t>
      </w:r>
      <w:proofErr w:type="spellEnd"/>
      <w:r>
        <w:rPr>
          <w:sz w:val="28"/>
          <w:szCs w:val="28"/>
        </w:rPr>
        <w:t xml:space="preserve">, д. </w:t>
      </w:r>
      <w:proofErr w:type="spellStart"/>
      <w:r>
        <w:rPr>
          <w:sz w:val="28"/>
          <w:szCs w:val="28"/>
        </w:rPr>
        <w:t>Шиловка</w:t>
      </w:r>
      <w:proofErr w:type="spellEnd"/>
      <w:r>
        <w:rPr>
          <w:sz w:val="28"/>
          <w:szCs w:val="28"/>
        </w:rPr>
        <w:t xml:space="preserve"> Шмаковского сельского поселения Починковского района Смоленской области – 9690,8 </w:t>
      </w:r>
      <w:proofErr w:type="spellStart"/>
      <w:r>
        <w:rPr>
          <w:sz w:val="28"/>
          <w:szCs w:val="28"/>
        </w:rPr>
        <w:t>млн.руб</w:t>
      </w:r>
      <w:proofErr w:type="spellEnd"/>
      <w:r>
        <w:rPr>
          <w:sz w:val="28"/>
          <w:szCs w:val="28"/>
        </w:rPr>
        <w:t xml:space="preserve">.; в 2022 году планируется строительство двух детских садов в г. Починке на сумму </w:t>
      </w:r>
      <w:r>
        <w:rPr>
          <w:sz w:val="28"/>
          <w:szCs w:val="28"/>
        </w:rPr>
        <w:lastRenderedPageBreak/>
        <w:t xml:space="preserve">250,0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в 2023 году планируется строительство школы в г. Починке на сумму 300,0 </w:t>
      </w:r>
      <w:proofErr w:type="spellStart"/>
      <w:r>
        <w:rPr>
          <w:sz w:val="28"/>
          <w:szCs w:val="28"/>
        </w:rPr>
        <w:t>млн.руб</w:t>
      </w:r>
      <w:proofErr w:type="spellEnd"/>
      <w:r>
        <w:rPr>
          <w:sz w:val="28"/>
          <w:szCs w:val="28"/>
        </w:rPr>
        <w:t>.</w:t>
      </w:r>
    </w:p>
    <w:p w:rsidR="000E65A0" w:rsidRDefault="000E65A0" w:rsidP="004959DB">
      <w:pPr>
        <w:jc w:val="center"/>
        <w:rPr>
          <w:b/>
          <w:sz w:val="28"/>
          <w:szCs w:val="28"/>
        </w:rPr>
      </w:pPr>
      <w:r>
        <w:rPr>
          <w:b/>
          <w:sz w:val="28"/>
          <w:szCs w:val="28"/>
        </w:rPr>
        <w:t>7. Консолидированный бюджет</w:t>
      </w:r>
    </w:p>
    <w:p w:rsidR="000E65A0" w:rsidRDefault="000E65A0" w:rsidP="000E65A0">
      <w:pPr>
        <w:ind w:firstLine="709"/>
        <w:jc w:val="both"/>
        <w:rPr>
          <w:sz w:val="28"/>
          <w:szCs w:val="28"/>
        </w:rPr>
      </w:pPr>
    </w:p>
    <w:p w:rsidR="00F55754" w:rsidRDefault="00F55754" w:rsidP="00F55754">
      <w:pPr>
        <w:ind w:firstLine="709"/>
        <w:jc w:val="both"/>
        <w:rPr>
          <w:sz w:val="28"/>
          <w:szCs w:val="28"/>
        </w:rPr>
      </w:pPr>
      <w:r>
        <w:rPr>
          <w:sz w:val="28"/>
          <w:szCs w:val="28"/>
        </w:rPr>
        <w:t xml:space="preserve">Оценка исполнения консолидированного бюджета на 2020 год произведена исходя из ожидаемого поступления налоговых и неналоговых доходов, рассчитанных с учетом исполнения бюджета по состоянию на 01.07.2020 года, безвозмездных поступлений – исходя из уточненного плана на 01.07.2020 года и уведомлений о внесении изменений в решение о бюджете, не принятых к исполнению. </w:t>
      </w:r>
      <w:proofErr w:type="gramStart"/>
      <w:r>
        <w:rPr>
          <w:sz w:val="28"/>
          <w:szCs w:val="28"/>
        </w:rPr>
        <w:t xml:space="preserve">Расходная часть бюджета </w:t>
      </w:r>
      <w:r>
        <w:rPr>
          <w:color w:val="292929"/>
          <w:sz w:val="28"/>
          <w:szCs w:val="28"/>
          <w:shd w:val="clear" w:color="auto" w:fill="FFFFFF"/>
        </w:rPr>
        <w:t>определена</w:t>
      </w:r>
      <w:r w:rsidRPr="00CB7ED2">
        <w:rPr>
          <w:color w:val="292929"/>
          <w:sz w:val="28"/>
          <w:szCs w:val="28"/>
          <w:shd w:val="clear" w:color="auto" w:fill="FFFFFF"/>
        </w:rPr>
        <w:t xml:space="preserve"> с учетом прогнозируемого объема налоговы</w:t>
      </w:r>
      <w:r>
        <w:rPr>
          <w:color w:val="292929"/>
          <w:sz w:val="28"/>
          <w:szCs w:val="28"/>
          <w:shd w:val="clear" w:color="auto" w:fill="FFFFFF"/>
        </w:rPr>
        <w:t xml:space="preserve">х и неналоговых доходов консолидированного бюджета, уведомлений о предоставлении субсидии, субвенции, иного межбюджетного трансферта, имеющего целевое назначение и </w:t>
      </w:r>
      <w:r>
        <w:rPr>
          <w:sz w:val="28"/>
          <w:szCs w:val="28"/>
        </w:rPr>
        <w:t>остатков бюджетных средств, сложившихся по состоянию на 01.01.2019г.. Дефицит установлен с учетом изменения остатков бюджетных средств, сложившихся по состоянию на 01.01.2019г. и кредитов, полученных от кредитных организаций.</w:t>
      </w:r>
      <w:proofErr w:type="gramEnd"/>
      <w:r>
        <w:rPr>
          <w:sz w:val="28"/>
          <w:szCs w:val="28"/>
        </w:rPr>
        <w:t xml:space="preserve"> Муниципальный долг соответствует фактическому  долгу по состоянию на 01.01.2020 года с учетом заимствований на погашение дефицита бюджета 2020 года.</w:t>
      </w:r>
    </w:p>
    <w:p w:rsidR="00F55754" w:rsidRDefault="00F55754" w:rsidP="00F55754">
      <w:pPr>
        <w:ind w:firstLine="709"/>
        <w:jc w:val="both"/>
        <w:rPr>
          <w:sz w:val="28"/>
          <w:szCs w:val="28"/>
        </w:rPr>
      </w:pPr>
      <w:r>
        <w:rPr>
          <w:sz w:val="28"/>
          <w:szCs w:val="28"/>
        </w:rPr>
        <w:t>Прогноз на 2021 – 2023  годы по собственным доходам рассчитан исходя из индексов дефляторов по каждому налогу отдельно, по безвозмездным поступлениям  с учетом уменьшения финансирования из областного бюджета, в том числе: дотаций на выравнивание бюджетной обеспеченности бюджета и субсидий. При этом бюджет прогнозируется на 2021- 23 годы  без дефицита и без роста размера муниципального долга.</w:t>
      </w:r>
    </w:p>
    <w:p w:rsidR="00F55754" w:rsidRDefault="00F55754" w:rsidP="00F55754">
      <w:pPr>
        <w:ind w:firstLine="709"/>
        <w:jc w:val="both"/>
        <w:rPr>
          <w:sz w:val="28"/>
          <w:szCs w:val="28"/>
        </w:rPr>
      </w:pPr>
      <w:r>
        <w:rPr>
          <w:sz w:val="28"/>
          <w:szCs w:val="28"/>
        </w:rPr>
        <w:t xml:space="preserve">Прогноз на  2024– 2025 гг. прогнозируется без учета  индексов роста потребительских цен к предыдущему году.  В этот период планируется отсутствие дефицита бюджета, прироста  муниципального долга не планируется.  К 2025 году он составит 22,6 процента собственных доходов, что ниже на 0,5 процентных пункта по отношению к ожидаемому долгу 2020 года. </w:t>
      </w:r>
    </w:p>
    <w:p w:rsidR="00F55754" w:rsidRDefault="00F55754" w:rsidP="00F55754"/>
    <w:p w:rsidR="000E65A0" w:rsidRDefault="000E65A0" w:rsidP="000E65A0"/>
    <w:p w:rsidR="009B0C30" w:rsidRPr="007329F9" w:rsidRDefault="006F34E6" w:rsidP="007329F9">
      <w:pPr>
        <w:ind w:firstLine="709"/>
        <w:jc w:val="center"/>
        <w:rPr>
          <w:sz w:val="28"/>
          <w:szCs w:val="28"/>
        </w:rPr>
      </w:pPr>
      <w:r w:rsidRPr="007329F9">
        <w:rPr>
          <w:b/>
          <w:bCs/>
          <w:sz w:val="28"/>
          <w:szCs w:val="28"/>
        </w:rPr>
        <w:t>8</w:t>
      </w:r>
      <w:r w:rsidR="007C6774" w:rsidRPr="007329F9">
        <w:rPr>
          <w:b/>
          <w:bCs/>
          <w:sz w:val="28"/>
          <w:szCs w:val="28"/>
        </w:rPr>
        <w:t xml:space="preserve">. </w:t>
      </w:r>
      <w:r w:rsidR="00812812" w:rsidRPr="007329F9">
        <w:rPr>
          <w:b/>
          <w:bCs/>
          <w:sz w:val="28"/>
          <w:szCs w:val="28"/>
        </w:rPr>
        <w:t>Труд и занятость населения</w:t>
      </w:r>
    </w:p>
    <w:p w:rsidR="009B0C30" w:rsidRPr="007329F9" w:rsidRDefault="009B0C30" w:rsidP="007329F9">
      <w:pPr>
        <w:tabs>
          <w:tab w:val="left" w:pos="2520"/>
        </w:tabs>
        <w:ind w:firstLine="709"/>
        <w:jc w:val="center"/>
        <w:rPr>
          <w:sz w:val="28"/>
          <w:szCs w:val="28"/>
        </w:rPr>
      </w:pPr>
    </w:p>
    <w:p w:rsidR="004E1B74" w:rsidRPr="007329F9" w:rsidRDefault="004E1B74" w:rsidP="007329F9">
      <w:pPr>
        <w:ind w:firstLine="709"/>
        <w:jc w:val="both"/>
        <w:rPr>
          <w:sz w:val="28"/>
          <w:szCs w:val="28"/>
        </w:rPr>
      </w:pPr>
      <w:r w:rsidRPr="007329F9">
        <w:rPr>
          <w:sz w:val="28"/>
          <w:szCs w:val="28"/>
        </w:rPr>
        <w:t xml:space="preserve">По оценке численность экономически активного населения на начало </w:t>
      </w:r>
      <w:r w:rsidR="003562C7">
        <w:rPr>
          <w:sz w:val="28"/>
          <w:szCs w:val="28"/>
        </w:rPr>
        <w:t>2020</w:t>
      </w:r>
      <w:r w:rsidRPr="007329F9">
        <w:rPr>
          <w:sz w:val="28"/>
          <w:szCs w:val="28"/>
        </w:rPr>
        <w:t xml:space="preserve"> </w:t>
      </w:r>
      <w:r w:rsidR="00C242FA">
        <w:rPr>
          <w:sz w:val="28"/>
          <w:szCs w:val="28"/>
        </w:rPr>
        <w:t xml:space="preserve">года составила  </w:t>
      </w:r>
      <w:r w:rsidR="003562C7">
        <w:rPr>
          <w:sz w:val="28"/>
          <w:szCs w:val="28"/>
        </w:rPr>
        <w:t>16148</w:t>
      </w:r>
      <w:r w:rsidRPr="007329F9">
        <w:rPr>
          <w:sz w:val="28"/>
          <w:szCs w:val="28"/>
        </w:rPr>
        <w:t xml:space="preserve">  человек или </w:t>
      </w:r>
      <w:r w:rsidR="003562C7">
        <w:rPr>
          <w:sz w:val="28"/>
          <w:szCs w:val="28"/>
        </w:rPr>
        <w:t xml:space="preserve"> 55,5</w:t>
      </w:r>
      <w:r w:rsidRPr="007329F9">
        <w:rPr>
          <w:sz w:val="28"/>
          <w:szCs w:val="28"/>
        </w:rPr>
        <w:t xml:space="preserve">% от общей численности населения района. Занято в экономике района </w:t>
      </w:r>
      <w:r w:rsidR="003562C7">
        <w:rPr>
          <w:sz w:val="28"/>
          <w:szCs w:val="28"/>
        </w:rPr>
        <w:t>15152</w:t>
      </w:r>
      <w:r w:rsidRPr="007329F9">
        <w:rPr>
          <w:sz w:val="28"/>
          <w:szCs w:val="28"/>
        </w:rPr>
        <w:t xml:space="preserve"> человек, что составляет </w:t>
      </w:r>
      <w:r w:rsidR="003562C7">
        <w:rPr>
          <w:sz w:val="28"/>
          <w:szCs w:val="28"/>
        </w:rPr>
        <w:t>93,8</w:t>
      </w:r>
      <w:r w:rsidRPr="007329F9">
        <w:rPr>
          <w:sz w:val="28"/>
          <w:szCs w:val="28"/>
        </w:rPr>
        <w:t xml:space="preserve">% от численности экономически активного населения.  </w:t>
      </w:r>
    </w:p>
    <w:p w:rsidR="00210466" w:rsidRDefault="00296CD6" w:rsidP="007329F9">
      <w:pPr>
        <w:ind w:firstLine="709"/>
        <w:jc w:val="both"/>
        <w:rPr>
          <w:sz w:val="28"/>
          <w:szCs w:val="28"/>
        </w:rPr>
      </w:pPr>
      <w:r w:rsidRPr="007329F9">
        <w:rPr>
          <w:sz w:val="28"/>
          <w:szCs w:val="28"/>
        </w:rPr>
        <w:t xml:space="preserve">Планируется, что численность </w:t>
      </w:r>
      <w:r w:rsidR="009B0C30" w:rsidRPr="007329F9">
        <w:rPr>
          <w:sz w:val="28"/>
          <w:szCs w:val="28"/>
        </w:rPr>
        <w:t xml:space="preserve">безработных, зарегистрированных в государственных учреждениях службы занятости населения </w:t>
      </w:r>
      <w:proofErr w:type="gramStart"/>
      <w:r w:rsidR="009B0C30" w:rsidRPr="007329F9">
        <w:rPr>
          <w:sz w:val="28"/>
          <w:szCs w:val="28"/>
        </w:rPr>
        <w:t>на конец</w:t>
      </w:r>
      <w:proofErr w:type="gramEnd"/>
      <w:r w:rsidR="009B0C30" w:rsidRPr="007329F9">
        <w:rPr>
          <w:sz w:val="28"/>
          <w:szCs w:val="28"/>
        </w:rPr>
        <w:t xml:space="preserve"> </w:t>
      </w:r>
      <w:r w:rsidR="00210466">
        <w:rPr>
          <w:sz w:val="28"/>
          <w:szCs w:val="28"/>
        </w:rPr>
        <w:t xml:space="preserve">2020 </w:t>
      </w:r>
      <w:r w:rsidR="009B0C30" w:rsidRPr="007329F9">
        <w:rPr>
          <w:sz w:val="28"/>
          <w:szCs w:val="28"/>
        </w:rPr>
        <w:t xml:space="preserve">года </w:t>
      </w:r>
      <w:r w:rsidR="00210466">
        <w:rPr>
          <w:sz w:val="28"/>
          <w:szCs w:val="28"/>
        </w:rPr>
        <w:t>составит 379 человек, в плановом периоде показатель стабилизируется и к 2023 году составит 189 человек.</w:t>
      </w:r>
    </w:p>
    <w:p w:rsidR="009B0C30" w:rsidRPr="007329F9" w:rsidRDefault="009B0C30" w:rsidP="007329F9">
      <w:pPr>
        <w:tabs>
          <w:tab w:val="left" w:pos="2520"/>
        </w:tabs>
        <w:ind w:firstLine="709"/>
        <w:jc w:val="both"/>
        <w:rPr>
          <w:sz w:val="28"/>
          <w:szCs w:val="28"/>
        </w:rPr>
      </w:pPr>
      <w:r w:rsidRPr="007329F9">
        <w:rPr>
          <w:sz w:val="28"/>
          <w:szCs w:val="28"/>
        </w:rPr>
        <w:t>На протяжении ряда лет отмечается рост среднемесячной заработной платы.</w:t>
      </w:r>
    </w:p>
    <w:p w:rsidR="009B0C30" w:rsidRPr="007329F9" w:rsidRDefault="009B0C30" w:rsidP="007329F9">
      <w:pPr>
        <w:tabs>
          <w:tab w:val="left" w:pos="2520"/>
        </w:tabs>
        <w:ind w:firstLine="709"/>
        <w:jc w:val="both"/>
        <w:rPr>
          <w:sz w:val="28"/>
          <w:szCs w:val="28"/>
        </w:rPr>
      </w:pPr>
      <w:r w:rsidRPr="007329F9">
        <w:rPr>
          <w:sz w:val="28"/>
          <w:szCs w:val="28"/>
        </w:rPr>
        <w:t>В 201</w:t>
      </w:r>
      <w:r w:rsidR="00210466">
        <w:rPr>
          <w:sz w:val="28"/>
          <w:szCs w:val="28"/>
        </w:rPr>
        <w:t>9</w:t>
      </w:r>
      <w:r w:rsidRPr="007329F9">
        <w:rPr>
          <w:sz w:val="28"/>
          <w:szCs w:val="28"/>
        </w:rPr>
        <w:t xml:space="preserve"> году среднемесячная начисленная заработная плата работников крупных и средних предприятий муниципального района составила </w:t>
      </w:r>
      <w:r w:rsidR="00210466">
        <w:rPr>
          <w:sz w:val="28"/>
          <w:szCs w:val="28"/>
        </w:rPr>
        <w:t>27149</w:t>
      </w:r>
      <w:r w:rsidR="005D4CBA">
        <w:rPr>
          <w:sz w:val="28"/>
          <w:szCs w:val="28"/>
        </w:rPr>
        <w:t xml:space="preserve"> рублей, рост к предыдущему году </w:t>
      </w:r>
      <w:r w:rsidR="00210466">
        <w:rPr>
          <w:sz w:val="28"/>
          <w:szCs w:val="28"/>
        </w:rPr>
        <w:t>107,5</w:t>
      </w:r>
      <w:r w:rsidR="005D4CBA">
        <w:rPr>
          <w:sz w:val="28"/>
          <w:szCs w:val="28"/>
        </w:rPr>
        <w:t>%.</w:t>
      </w:r>
      <w:r w:rsidR="00210466">
        <w:rPr>
          <w:sz w:val="28"/>
          <w:szCs w:val="28"/>
        </w:rPr>
        <w:t xml:space="preserve"> В 2020 году рост </w:t>
      </w:r>
      <w:proofErr w:type="gramStart"/>
      <w:r w:rsidR="00210466">
        <w:rPr>
          <w:sz w:val="28"/>
          <w:szCs w:val="28"/>
        </w:rPr>
        <w:t>заработной</w:t>
      </w:r>
      <w:proofErr w:type="gramEnd"/>
      <w:r w:rsidR="00210466">
        <w:rPr>
          <w:sz w:val="28"/>
          <w:szCs w:val="28"/>
        </w:rPr>
        <w:t xml:space="preserve"> не прогнозируется.  </w:t>
      </w:r>
    </w:p>
    <w:p w:rsidR="00812855" w:rsidRPr="007329F9" w:rsidRDefault="009B0C30" w:rsidP="00210466">
      <w:pPr>
        <w:tabs>
          <w:tab w:val="left" w:pos="2520"/>
        </w:tabs>
        <w:ind w:firstLine="709"/>
        <w:jc w:val="both"/>
        <w:rPr>
          <w:b/>
          <w:bCs/>
          <w:sz w:val="28"/>
          <w:szCs w:val="28"/>
        </w:rPr>
      </w:pPr>
      <w:r w:rsidRPr="007329F9">
        <w:rPr>
          <w:sz w:val="28"/>
          <w:szCs w:val="28"/>
        </w:rPr>
        <w:lastRenderedPageBreak/>
        <w:t>По прогнозу рост оплаты труда</w:t>
      </w:r>
      <w:r w:rsidR="00F80491" w:rsidRPr="007329F9">
        <w:rPr>
          <w:sz w:val="28"/>
          <w:szCs w:val="28"/>
        </w:rPr>
        <w:t xml:space="preserve"> в 20</w:t>
      </w:r>
      <w:r w:rsidR="00210466">
        <w:rPr>
          <w:sz w:val="28"/>
          <w:szCs w:val="28"/>
        </w:rPr>
        <w:t>21</w:t>
      </w:r>
      <w:r w:rsidRPr="007329F9">
        <w:rPr>
          <w:sz w:val="28"/>
          <w:szCs w:val="28"/>
        </w:rPr>
        <w:t xml:space="preserve"> году составит </w:t>
      </w:r>
      <w:r w:rsidR="00210466">
        <w:rPr>
          <w:sz w:val="28"/>
          <w:szCs w:val="28"/>
        </w:rPr>
        <w:t>101,5</w:t>
      </w:r>
      <w:r w:rsidRPr="007329F9">
        <w:rPr>
          <w:sz w:val="28"/>
          <w:szCs w:val="28"/>
        </w:rPr>
        <w:t xml:space="preserve">% , </w:t>
      </w:r>
      <w:r w:rsidR="00210466">
        <w:rPr>
          <w:sz w:val="28"/>
          <w:szCs w:val="28"/>
        </w:rPr>
        <w:t>в 2022</w:t>
      </w:r>
      <w:r w:rsidR="005D4CBA">
        <w:rPr>
          <w:sz w:val="28"/>
          <w:szCs w:val="28"/>
        </w:rPr>
        <w:t xml:space="preserve"> году  </w:t>
      </w:r>
      <w:r w:rsidR="00210466">
        <w:rPr>
          <w:sz w:val="28"/>
          <w:szCs w:val="28"/>
        </w:rPr>
        <w:t xml:space="preserve">- 102, 2023 году – 102,3%. </w:t>
      </w:r>
    </w:p>
    <w:p w:rsidR="00372545" w:rsidRPr="007329F9" w:rsidRDefault="00372545" w:rsidP="007329F9">
      <w:pPr>
        <w:ind w:firstLine="709"/>
        <w:jc w:val="both"/>
        <w:rPr>
          <w:sz w:val="28"/>
          <w:szCs w:val="28"/>
        </w:rPr>
      </w:pPr>
    </w:p>
    <w:p w:rsidR="00210466" w:rsidRDefault="00210466" w:rsidP="007329F9">
      <w:pPr>
        <w:pStyle w:val="a6"/>
        <w:tabs>
          <w:tab w:val="left" w:pos="6237"/>
        </w:tabs>
        <w:spacing w:after="0"/>
        <w:ind w:left="0" w:firstLine="709"/>
        <w:jc w:val="both"/>
        <w:rPr>
          <w:lang w:val="ru-RU"/>
        </w:rPr>
      </w:pPr>
    </w:p>
    <w:p w:rsidR="00210466" w:rsidRDefault="00210466" w:rsidP="007329F9">
      <w:pPr>
        <w:pStyle w:val="a6"/>
        <w:tabs>
          <w:tab w:val="left" w:pos="6237"/>
        </w:tabs>
        <w:spacing w:after="0"/>
        <w:ind w:left="0" w:firstLine="709"/>
        <w:jc w:val="both"/>
        <w:rPr>
          <w:lang w:val="ru-RU"/>
        </w:rPr>
      </w:pPr>
    </w:p>
    <w:p w:rsidR="00B52E7A" w:rsidRPr="00B52E7A" w:rsidRDefault="00B52E7A" w:rsidP="007329F9">
      <w:pPr>
        <w:pStyle w:val="a6"/>
        <w:tabs>
          <w:tab w:val="left" w:pos="6237"/>
        </w:tabs>
        <w:spacing w:after="0"/>
        <w:ind w:left="0" w:firstLine="709"/>
        <w:jc w:val="both"/>
        <w:rPr>
          <w:lang w:val="ru-RU"/>
        </w:rPr>
      </w:pPr>
      <w:r>
        <w:rPr>
          <w:lang w:val="ru-RU"/>
        </w:rPr>
        <w:t xml:space="preserve">         </w:t>
      </w:r>
    </w:p>
    <w:sectPr w:rsidR="00B52E7A" w:rsidRPr="00B52E7A" w:rsidSect="0083775B">
      <w:headerReference w:type="default" r:id="rId15"/>
      <w:footerReference w:type="even" r:id="rId16"/>
      <w:headerReference w:type="first" r:id="rId17"/>
      <w:footerReference w:type="first" r:id="rId18"/>
      <w:pgSz w:w="11906" w:h="16838"/>
      <w:pgMar w:top="1276" w:right="566" w:bottom="851"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8C" w:rsidRDefault="00936E8C">
      <w:r>
        <w:separator/>
      </w:r>
    </w:p>
  </w:endnote>
  <w:endnote w:type="continuationSeparator" w:id="0">
    <w:p w:rsidR="00936E8C" w:rsidRDefault="009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5D" w:rsidRDefault="0098105D" w:rsidP="006765E2">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8105D" w:rsidRDefault="0098105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2C" w:rsidRPr="00E03C2C" w:rsidRDefault="00E03C2C">
    <w:pPr>
      <w:pStyle w:val="af1"/>
      <w:rPr>
        <w:sz w:val="16"/>
      </w:rPr>
    </w:pPr>
    <w:r>
      <w:rPr>
        <w:sz w:val="16"/>
      </w:rPr>
      <w:t>Рег. № исх-0637 от 05.11.2020, Подписано ЭП: Сидоренкова Валентина Владимировна,  05.11.2020 15:07:19,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8C" w:rsidRDefault="00936E8C">
      <w:r>
        <w:separator/>
      </w:r>
    </w:p>
  </w:footnote>
  <w:footnote w:type="continuationSeparator" w:id="0">
    <w:p w:rsidR="00936E8C" w:rsidRDefault="0093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92252"/>
      <w:docPartObj>
        <w:docPartGallery w:val="Page Numbers (Top of Page)"/>
        <w:docPartUnique/>
      </w:docPartObj>
    </w:sdtPr>
    <w:sdtEndPr/>
    <w:sdtContent>
      <w:p w:rsidR="0083775B" w:rsidRDefault="0083775B">
        <w:pPr>
          <w:pStyle w:val="af7"/>
          <w:jc w:val="center"/>
        </w:pPr>
        <w:r>
          <w:fldChar w:fldCharType="begin"/>
        </w:r>
        <w:r>
          <w:instrText>PAGE   \* MERGEFORMAT</w:instrText>
        </w:r>
        <w:r>
          <w:fldChar w:fldCharType="separate"/>
        </w:r>
        <w:r w:rsidR="00055343" w:rsidRPr="00055343">
          <w:rPr>
            <w:noProof/>
            <w:lang w:val="ru-RU"/>
          </w:rPr>
          <w:t>2</w:t>
        </w:r>
        <w:r>
          <w:fldChar w:fldCharType="end"/>
        </w:r>
      </w:p>
    </w:sdtContent>
  </w:sdt>
  <w:p w:rsidR="00933ADB" w:rsidRDefault="00933AD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5B" w:rsidRDefault="0083775B">
    <w:pPr>
      <w:pStyle w:val="af7"/>
      <w:jc w:val="center"/>
    </w:pPr>
  </w:p>
  <w:p w:rsidR="0083775B" w:rsidRDefault="0083775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EC914A"/>
    <w:lvl w:ilvl="0">
      <w:numFmt w:val="bullet"/>
      <w:lvlText w:val="*"/>
      <w:lvlJc w:val="left"/>
    </w:lvl>
  </w:abstractNum>
  <w:abstractNum w:abstractNumId="1">
    <w:nsid w:val="29EB51C7"/>
    <w:multiLevelType w:val="hybridMultilevel"/>
    <w:tmpl w:val="2D28D104"/>
    <w:lvl w:ilvl="0" w:tplc="2A88E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ED0271"/>
    <w:multiLevelType w:val="hybridMultilevel"/>
    <w:tmpl w:val="CD664F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98201E5"/>
    <w:multiLevelType w:val="singleLevel"/>
    <w:tmpl w:val="AC56F848"/>
    <w:lvl w:ilvl="0">
      <w:numFmt w:val="bullet"/>
      <w:lvlText w:val="-"/>
      <w:lvlJc w:val="left"/>
      <w:pPr>
        <w:tabs>
          <w:tab w:val="num" w:pos="1080"/>
        </w:tabs>
        <w:ind w:left="1080" w:hanging="360"/>
      </w:pPr>
      <w:rPr>
        <w:rFonts w:hint="default"/>
      </w:rPr>
    </w:lvl>
  </w:abstractNum>
  <w:abstractNum w:abstractNumId="4">
    <w:nsid w:val="4A502C0D"/>
    <w:multiLevelType w:val="singleLevel"/>
    <w:tmpl w:val="3C7A7F94"/>
    <w:lvl w:ilvl="0">
      <w:numFmt w:val="bullet"/>
      <w:lvlText w:val="-"/>
      <w:lvlJc w:val="left"/>
      <w:pPr>
        <w:tabs>
          <w:tab w:val="num" w:pos="1211"/>
        </w:tabs>
        <w:ind w:left="1211" w:hanging="360"/>
      </w:pPr>
      <w:rPr>
        <w:rFonts w:hint="default"/>
      </w:rPr>
    </w:lvl>
  </w:abstractNum>
  <w:abstractNum w:abstractNumId="5">
    <w:nsid w:val="4DCF4C89"/>
    <w:multiLevelType w:val="hybridMultilevel"/>
    <w:tmpl w:val="C6403E7E"/>
    <w:lvl w:ilvl="0" w:tplc="BBD8ED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45E6726"/>
    <w:multiLevelType w:val="hybridMultilevel"/>
    <w:tmpl w:val="C40C9462"/>
    <w:lvl w:ilvl="0" w:tplc="6442B3BC">
      <w:numFmt w:val="bullet"/>
      <w:lvlText w:val="-"/>
      <w:lvlJc w:val="left"/>
      <w:pPr>
        <w:tabs>
          <w:tab w:val="num" w:pos="1907"/>
        </w:tabs>
        <w:ind w:left="1907" w:hanging="1056"/>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7">
    <w:nsid w:val="62E64AEE"/>
    <w:multiLevelType w:val="hybridMultilevel"/>
    <w:tmpl w:val="C0FC2E74"/>
    <w:lvl w:ilvl="0" w:tplc="556A4642">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26262DD"/>
    <w:multiLevelType w:val="singleLevel"/>
    <w:tmpl w:val="1B586246"/>
    <w:lvl w:ilvl="0">
      <w:numFmt w:val="bullet"/>
      <w:lvlText w:val="-"/>
      <w:lvlJc w:val="left"/>
      <w:pPr>
        <w:tabs>
          <w:tab w:val="num" w:pos="1260"/>
        </w:tabs>
        <w:ind w:left="1260" w:hanging="360"/>
      </w:pPr>
      <w:rPr>
        <w:rFonts w:hint="default"/>
      </w:rPr>
    </w:lvl>
  </w:abstractNum>
  <w:num w:numId="1">
    <w:abstractNumId w:val="4"/>
  </w:num>
  <w:num w:numId="2">
    <w:abstractNumId w:val="3"/>
  </w:num>
  <w:num w:numId="3">
    <w:abstractNumId w:val="8"/>
  </w:num>
  <w:num w:numId="4">
    <w:abstractNumId w:val="6"/>
  </w:num>
  <w:num w:numId="5">
    <w:abstractNumId w:val="7"/>
  </w:num>
  <w:num w:numId="6">
    <w:abstractNumId w:val="2"/>
  </w:num>
  <w:num w:numId="7">
    <w:abstractNumId w:val="0"/>
    <w:lvlOverride w:ilvl="0">
      <w:lvl w:ilvl="0">
        <w:numFmt w:val="bullet"/>
        <w:lvlText w:val=""/>
        <w:legacy w:legacy="1" w:legacySpace="0" w:legacyIndent="0"/>
        <w:lvlJc w:val="left"/>
        <w:rPr>
          <w:rFonts w:ascii="Symbol" w:hAnsi="Symbol" w:cs="Symbol" w:hint="default"/>
        </w:rPr>
      </w:lvl>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95"/>
    <w:rsid w:val="000017A3"/>
    <w:rsid w:val="000071C5"/>
    <w:rsid w:val="00015044"/>
    <w:rsid w:val="000239CA"/>
    <w:rsid w:val="000414DE"/>
    <w:rsid w:val="00043A5F"/>
    <w:rsid w:val="0004412D"/>
    <w:rsid w:val="00055343"/>
    <w:rsid w:val="00056B58"/>
    <w:rsid w:val="00061061"/>
    <w:rsid w:val="00064D35"/>
    <w:rsid w:val="00064D9A"/>
    <w:rsid w:val="00071939"/>
    <w:rsid w:val="000727CE"/>
    <w:rsid w:val="00076CB5"/>
    <w:rsid w:val="00077139"/>
    <w:rsid w:val="00084696"/>
    <w:rsid w:val="00086171"/>
    <w:rsid w:val="00091A28"/>
    <w:rsid w:val="000927C2"/>
    <w:rsid w:val="00095627"/>
    <w:rsid w:val="00095FD7"/>
    <w:rsid w:val="000970C2"/>
    <w:rsid w:val="000974AD"/>
    <w:rsid w:val="00097730"/>
    <w:rsid w:val="000A1D0F"/>
    <w:rsid w:val="000A71F9"/>
    <w:rsid w:val="000A766B"/>
    <w:rsid w:val="000B49B9"/>
    <w:rsid w:val="000B74C3"/>
    <w:rsid w:val="000B7ACB"/>
    <w:rsid w:val="000C24C3"/>
    <w:rsid w:val="000C256F"/>
    <w:rsid w:val="000C2F05"/>
    <w:rsid w:val="000D0384"/>
    <w:rsid w:val="000D1ADB"/>
    <w:rsid w:val="000D6CDD"/>
    <w:rsid w:val="000D7E41"/>
    <w:rsid w:val="000E10B0"/>
    <w:rsid w:val="000E270E"/>
    <w:rsid w:val="000E43D8"/>
    <w:rsid w:val="000E5935"/>
    <w:rsid w:val="000E65A0"/>
    <w:rsid w:val="000F020A"/>
    <w:rsid w:val="000F0EF5"/>
    <w:rsid w:val="000F2E6D"/>
    <w:rsid w:val="000F60B3"/>
    <w:rsid w:val="00100E81"/>
    <w:rsid w:val="001040CB"/>
    <w:rsid w:val="00112FBB"/>
    <w:rsid w:val="00115F5A"/>
    <w:rsid w:val="00116B94"/>
    <w:rsid w:val="00124C41"/>
    <w:rsid w:val="0012747C"/>
    <w:rsid w:val="0013247C"/>
    <w:rsid w:val="00137297"/>
    <w:rsid w:val="0014311B"/>
    <w:rsid w:val="00143F7C"/>
    <w:rsid w:val="00147364"/>
    <w:rsid w:val="00152AE0"/>
    <w:rsid w:val="00157B60"/>
    <w:rsid w:val="00163652"/>
    <w:rsid w:val="00164F14"/>
    <w:rsid w:val="001669AD"/>
    <w:rsid w:val="00170201"/>
    <w:rsid w:val="00170789"/>
    <w:rsid w:val="001711AB"/>
    <w:rsid w:val="001758E5"/>
    <w:rsid w:val="00175AA6"/>
    <w:rsid w:val="00180422"/>
    <w:rsid w:val="00180ED0"/>
    <w:rsid w:val="0018137F"/>
    <w:rsid w:val="0018436B"/>
    <w:rsid w:val="0019017D"/>
    <w:rsid w:val="00190B39"/>
    <w:rsid w:val="001915EF"/>
    <w:rsid w:val="00192513"/>
    <w:rsid w:val="00192840"/>
    <w:rsid w:val="001969D9"/>
    <w:rsid w:val="001B174D"/>
    <w:rsid w:val="001D2B43"/>
    <w:rsid w:val="001E09F4"/>
    <w:rsid w:val="001E1462"/>
    <w:rsid w:val="001E7352"/>
    <w:rsid w:val="001F1B53"/>
    <w:rsid w:val="001F4CF1"/>
    <w:rsid w:val="001F5359"/>
    <w:rsid w:val="001F61D5"/>
    <w:rsid w:val="00200238"/>
    <w:rsid w:val="00200430"/>
    <w:rsid w:val="0020334C"/>
    <w:rsid w:val="00210466"/>
    <w:rsid w:val="00213618"/>
    <w:rsid w:val="0021460B"/>
    <w:rsid w:val="00215366"/>
    <w:rsid w:val="00217AAF"/>
    <w:rsid w:val="00222298"/>
    <w:rsid w:val="00222CD2"/>
    <w:rsid w:val="0022346A"/>
    <w:rsid w:val="00223B05"/>
    <w:rsid w:val="00223E7C"/>
    <w:rsid w:val="00233FBC"/>
    <w:rsid w:val="00234530"/>
    <w:rsid w:val="002359F6"/>
    <w:rsid w:val="0024316D"/>
    <w:rsid w:val="00245A4B"/>
    <w:rsid w:val="0025495A"/>
    <w:rsid w:val="00254A48"/>
    <w:rsid w:val="0025712C"/>
    <w:rsid w:val="00262757"/>
    <w:rsid w:val="00262A01"/>
    <w:rsid w:val="0026346D"/>
    <w:rsid w:val="002731E2"/>
    <w:rsid w:val="00275437"/>
    <w:rsid w:val="00283EE0"/>
    <w:rsid w:val="002916E8"/>
    <w:rsid w:val="00292486"/>
    <w:rsid w:val="00294AFF"/>
    <w:rsid w:val="00296CD6"/>
    <w:rsid w:val="002B5164"/>
    <w:rsid w:val="002C2831"/>
    <w:rsid w:val="002C4F1E"/>
    <w:rsid w:val="002D0292"/>
    <w:rsid w:val="002D109D"/>
    <w:rsid w:val="002D7AB1"/>
    <w:rsid w:val="002E228B"/>
    <w:rsid w:val="002F48DB"/>
    <w:rsid w:val="002F5C6C"/>
    <w:rsid w:val="003008AF"/>
    <w:rsid w:val="00301985"/>
    <w:rsid w:val="0030750A"/>
    <w:rsid w:val="003108F9"/>
    <w:rsid w:val="00311A77"/>
    <w:rsid w:val="003120E5"/>
    <w:rsid w:val="003131E5"/>
    <w:rsid w:val="0032072E"/>
    <w:rsid w:val="003219E8"/>
    <w:rsid w:val="0032325C"/>
    <w:rsid w:val="003306AD"/>
    <w:rsid w:val="003314D9"/>
    <w:rsid w:val="003332A3"/>
    <w:rsid w:val="00351308"/>
    <w:rsid w:val="003527F4"/>
    <w:rsid w:val="003562C7"/>
    <w:rsid w:val="00356353"/>
    <w:rsid w:val="00357708"/>
    <w:rsid w:val="00357EB3"/>
    <w:rsid w:val="00362889"/>
    <w:rsid w:val="00362DBB"/>
    <w:rsid w:val="003650F5"/>
    <w:rsid w:val="0036523B"/>
    <w:rsid w:val="003666CB"/>
    <w:rsid w:val="00370CC6"/>
    <w:rsid w:val="00372545"/>
    <w:rsid w:val="00374862"/>
    <w:rsid w:val="00375457"/>
    <w:rsid w:val="0038038A"/>
    <w:rsid w:val="003816CF"/>
    <w:rsid w:val="003823D6"/>
    <w:rsid w:val="003832D2"/>
    <w:rsid w:val="003A0492"/>
    <w:rsid w:val="003A2371"/>
    <w:rsid w:val="003A2EC7"/>
    <w:rsid w:val="003A2FE6"/>
    <w:rsid w:val="003A3731"/>
    <w:rsid w:val="003A3DCA"/>
    <w:rsid w:val="003B1BB6"/>
    <w:rsid w:val="003D2680"/>
    <w:rsid w:val="003D2AF2"/>
    <w:rsid w:val="003D38BA"/>
    <w:rsid w:val="003E0776"/>
    <w:rsid w:val="003E15FA"/>
    <w:rsid w:val="003E34A3"/>
    <w:rsid w:val="003E49BD"/>
    <w:rsid w:val="003E6CFC"/>
    <w:rsid w:val="003E7FCA"/>
    <w:rsid w:val="004026D8"/>
    <w:rsid w:val="004100BA"/>
    <w:rsid w:val="0041457C"/>
    <w:rsid w:val="00415E77"/>
    <w:rsid w:val="00424200"/>
    <w:rsid w:val="00424DA8"/>
    <w:rsid w:val="004256D0"/>
    <w:rsid w:val="00426370"/>
    <w:rsid w:val="0043000D"/>
    <w:rsid w:val="00431166"/>
    <w:rsid w:val="004366C9"/>
    <w:rsid w:val="0043738D"/>
    <w:rsid w:val="004442D6"/>
    <w:rsid w:val="00444B32"/>
    <w:rsid w:val="00446380"/>
    <w:rsid w:val="00447222"/>
    <w:rsid w:val="004525E1"/>
    <w:rsid w:val="004606D9"/>
    <w:rsid w:val="00471CE2"/>
    <w:rsid w:val="0047368E"/>
    <w:rsid w:val="00473B53"/>
    <w:rsid w:val="004745F2"/>
    <w:rsid w:val="00475776"/>
    <w:rsid w:val="00483D2B"/>
    <w:rsid w:val="00485157"/>
    <w:rsid w:val="00486453"/>
    <w:rsid w:val="00486664"/>
    <w:rsid w:val="00494812"/>
    <w:rsid w:val="004959DB"/>
    <w:rsid w:val="0049704F"/>
    <w:rsid w:val="00497BC6"/>
    <w:rsid w:val="004A1AED"/>
    <w:rsid w:val="004A4A46"/>
    <w:rsid w:val="004A709B"/>
    <w:rsid w:val="004B0358"/>
    <w:rsid w:val="004B2D63"/>
    <w:rsid w:val="004B5CE2"/>
    <w:rsid w:val="004B6C48"/>
    <w:rsid w:val="004C0AEA"/>
    <w:rsid w:val="004D473D"/>
    <w:rsid w:val="004E1486"/>
    <w:rsid w:val="004E1B74"/>
    <w:rsid w:val="004F0A39"/>
    <w:rsid w:val="00501AA2"/>
    <w:rsid w:val="00501B77"/>
    <w:rsid w:val="00505B61"/>
    <w:rsid w:val="005071E3"/>
    <w:rsid w:val="00510239"/>
    <w:rsid w:val="00514D8C"/>
    <w:rsid w:val="00520C96"/>
    <w:rsid w:val="00521466"/>
    <w:rsid w:val="0052154B"/>
    <w:rsid w:val="00522CC8"/>
    <w:rsid w:val="00524F3E"/>
    <w:rsid w:val="00530DA4"/>
    <w:rsid w:val="00540FDB"/>
    <w:rsid w:val="00550FE0"/>
    <w:rsid w:val="0055355A"/>
    <w:rsid w:val="00566A54"/>
    <w:rsid w:val="00570684"/>
    <w:rsid w:val="0057145D"/>
    <w:rsid w:val="005727B0"/>
    <w:rsid w:val="00576973"/>
    <w:rsid w:val="00581177"/>
    <w:rsid w:val="00591054"/>
    <w:rsid w:val="0059675E"/>
    <w:rsid w:val="005968D3"/>
    <w:rsid w:val="005A5493"/>
    <w:rsid w:val="005A70AB"/>
    <w:rsid w:val="005B12C4"/>
    <w:rsid w:val="005B2207"/>
    <w:rsid w:val="005B3369"/>
    <w:rsid w:val="005B6CB2"/>
    <w:rsid w:val="005B744E"/>
    <w:rsid w:val="005B7EE2"/>
    <w:rsid w:val="005C20F8"/>
    <w:rsid w:val="005C22FE"/>
    <w:rsid w:val="005C2593"/>
    <w:rsid w:val="005C6D82"/>
    <w:rsid w:val="005D183E"/>
    <w:rsid w:val="005D3E41"/>
    <w:rsid w:val="005D4CBA"/>
    <w:rsid w:val="005D6607"/>
    <w:rsid w:val="005D7CD4"/>
    <w:rsid w:val="005E0B7C"/>
    <w:rsid w:val="005E2B4F"/>
    <w:rsid w:val="005E3902"/>
    <w:rsid w:val="005E4FDD"/>
    <w:rsid w:val="005E69A5"/>
    <w:rsid w:val="005E7A94"/>
    <w:rsid w:val="005E7D91"/>
    <w:rsid w:val="005F11DF"/>
    <w:rsid w:val="005F51EC"/>
    <w:rsid w:val="005F63E2"/>
    <w:rsid w:val="005F66C2"/>
    <w:rsid w:val="0060695F"/>
    <w:rsid w:val="00610FFC"/>
    <w:rsid w:val="00613FDB"/>
    <w:rsid w:val="006160F1"/>
    <w:rsid w:val="00616270"/>
    <w:rsid w:val="00621C93"/>
    <w:rsid w:val="00627162"/>
    <w:rsid w:val="0062748E"/>
    <w:rsid w:val="006327F0"/>
    <w:rsid w:val="00640BDB"/>
    <w:rsid w:val="00641362"/>
    <w:rsid w:val="00645A80"/>
    <w:rsid w:val="00646F16"/>
    <w:rsid w:val="0065084A"/>
    <w:rsid w:val="00654D56"/>
    <w:rsid w:val="0065578A"/>
    <w:rsid w:val="006616A0"/>
    <w:rsid w:val="006618AB"/>
    <w:rsid w:val="00661EE9"/>
    <w:rsid w:val="006626B3"/>
    <w:rsid w:val="00664AE2"/>
    <w:rsid w:val="00665842"/>
    <w:rsid w:val="0066599C"/>
    <w:rsid w:val="0067068C"/>
    <w:rsid w:val="00671BA1"/>
    <w:rsid w:val="006765E2"/>
    <w:rsid w:val="00680097"/>
    <w:rsid w:val="006857C3"/>
    <w:rsid w:val="00690ACD"/>
    <w:rsid w:val="00691B74"/>
    <w:rsid w:val="006921E0"/>
    <w:rsid w:val="00695644"/>
    <w:rsid w:val="006956E0"/>
    <w:rsid w:val="00696DFE"/>
    <w:rsid w:val="0069750C"/>
    <w:rsid w:val="006A3703"/>
    <w:rsid w:val="006A4CE2"/>
    <w:rsid w:val="006A6A05"/>
    <w:rsid w:val="006B0627"/>
    <w:rsid w:val="006B1300"/>
    <w:rsid w:val="006B2E35"/>
    <w:rsid w:val="006B3620"/>
    <w:rsid w:val="006B387B"/>
    <w:rsid w:val="006B76D7"/>
    <w:rsid w:val="006C0535"/>
    <w:rsid w:val="006C150F"/>
    <w:rsid w:val="006C1B06"/>
    <w:rsid w:val="006C4582"/>
    <w:rsid w:val="006C505F"/>
    <w:rsid w:val="006C6CE5"/>
    <w:rsid w:val="006D2AFF"/>
    <w:rsid w:val="006E0274"/>
    <w:rsid w:val="006E14E8"/>
    <w:rsid w:val="006E3075"/>
    <w:rsid w:val="006F34E6"/>
    <w:rsid w:val="00700056"/>
    <w:rsid w:val="0070025E"/>
    <w:rsid w:val="00706064"/>
    <w:rsid w:val="00706C40"/>
    <w:rsid w:val="007120EB"/>
    <w:rsid w:val="007146A5"/>
    <w:rsid w:val="007177D4"/>
    <w:rsid w:val="00722453"/>
    <w:rsid w:val="007329F9"/>
    <w:rsid w:val="007340FA"/>
    <w:rsid w:val="00735C72"/>
    <w:rsid w:val="007375E2"/>
    <w:rsid w:val="00737D1A"/>
    <w:rsid w:val="007448C4"/>
    <w:rsid w:val="00753627"/>
    <w:rsid w:val="0076009C"/>
    <w:rsid w:val="00760701"/>
    <w:rsid w:val="007616B7"/>
    <w:rsid w:val="007617AF"/>
    <w:rsid w:val="00767856"/>
    <w:rsid w:val="007710D0"/>
    <w:rsid w:val="007747E3"/>
    <w:rsid w:val="00785209"/>
    <w:rsid w:val="007870B8"/>
    <w:rsid w:val="00791A06"/>
    <w:rsid w:val="00792581"/>
    <w:rsid w:val="007A12C6"/>
    <w:rsid w:val="007A17F6"/>
    <w:rsid w:val="007A3839"/>
    <w:rsid w:val="007A5542"/>
    <w:rsid w:val="007C01E1"/>
    <w:rsid w:val="007C3890"/>
    <w:rsid w:val="007C3C39"/>
    <w:rsid w:val="007C417E"/>
    <w:rsid w:val="007C55EA"/>
    <w:rsid w:val="007C6774"/>
    <w:rsid w:val="007C760E"/>
    <w:rsid w:val="007D033A"/>
    <w:rsid w:val="007D6404"/>
    <w:rsid w:val="007D6FF8"/>
    <w:rsid w:val="007E1585"/>
    <w:rsid w:val="007F1A7A"/>
    <w:rsid w:val="00800751"/>
    <w:rsid w:val="008048C2"/>
    <w:rsid w:val="008120F7"/>
    <w:rsid w:val="00812812"/>
    <w:rsid w:val="00812855"/>
    <w:rsid w:val="00820809"/>
    <w:rsid w:val="008230C5"/>
    <w:rsid w:val="0082351B"/>
    <w:rsid w:val="00827C9A"/>
    <w:rsid w:val="00832DC5"/>
    <w:rsid w:val="0083717B"/>
    <w:rsid w:val="0083775B"/>
    <w:rsid w:val="00841A33"/>
    <w:rsid w:val="00842D76"/>
    <w:rsid w:val="00853A42"/>
    <w:rsid w:val="00856092"/>
    <w:rsid w:val="008618D7"/>
    <w:rsid w:val="00863887"/>
    <w:rsid w:val="00874E65"/>
    <w:rsid w:val="00880D7E"/>
    <w:rsid w:val="00883EBB"/>
    <w:rsid w:val="00883FEE"/>
    <w:rsid w:val="0088622A"/>
    <w:rsid w:val="00886A06"/>
    <w:rsid w:val="008909DC"/>
    <w:rsid w:val="00893410"/>
    <w:rsid w:val="00893AD8"/>
    <w:rsid w:val="00896793"/>
    <w:rsid w:val="00896967"/>
    <w:rsid w:val="008A0838"/>
    <w:rsid w:val="008B1E56"/>
    <w:rsid w:val="008B71C4"/>
    <w:rsid w:val="008C2057"/>
    <w:rsid w:val="008C251D"/>
    <w:rsid w:val="008D078C"/>
    <w:rsid w:val="008D3E69"/>
    <w:rsid w:val="008D4CD9"/>
    <w:rsid w:val="008D56B9"/>
    <w:rsid w:val="008D70B6"/>
    <w:rsid w:val="008D7CFF"/>
    <w:rsid w:val="008E0BD2"/>
    <w:rsid w:val="008E31EB"/>
    <w:rsid w:val="008F093A"/>
    <w:rsid w:val="008F49D7"/>
    <w:rsid w:val="008F7899"/>
    <w:rsid w:val="008F7996"/>
    <w:rsid w:val="008F7B91"/>
    <w:rsid w:val="009017A7"/>
    <w:rsid w:val="00903903"/>
    <w:rsid w:val="009241B1"/>
    <w:rsid w:val="009257C0"/>
    <w:rsid w:val="00926598"/>
    <w:rsid w:val="00926D4D"/>
    <w:rsid w:val="00926E38"/>
    <w:rsid w:val="00927248"/>
    <w:rsid w:val="00930543"/>
    <w:rsid w:val="00933ADB"/>
    <w:rsid w:val="009368E9"/>
    <w:rsid w:val="00936E8C"/>
    <w:rsid w:val="009377CD"/>
    <w:rsid w:val="0094657D"/>
    <w:rsid w:val="009504BA"/>
    <w:rsid w:val="00956A8A"/>
    <w:rsid w:val="0095733E"/>
    <w:rsid w:val="00962172"/>
    <w:rsid w:val="009633FC"/>
    <w:rsid w:val="00963F4A"/>
    <w:rsid w:val="009706DD"/>
    <w:rsid w:val="00971512"/>
    <w:rsid w:val="009725C6"/>
    <w:rsid w:val="00976D12"/>
    <w:rsid w:val="00977FF5"/>
    <w:rsid w:val="0098105D"/>
    <w:rsid w:val="009826D1"/>
    <w:rsid w:val="009868D4"/>
    <w:rsid w:val="00993B50"/>
    <w:rsid w:val="00994248"/>
    <w:rsid w:val="00994E8E"/>
    <w:rsid w:val="009A0196"/>
    <w:rsid w:val="009A05B3"/>
    <w:rsid w:val="009A6FF8"/>
    <w:rsid w:val="009B0C30"/>
    <w:rsid w:val="009B1B3A"/>
    <w:rsid w:val="009C1A29"/>
    <w:rsid w:val="009C6243"/>
    <w:rsid w:val="009C72A9"/>
    <w:rsid w:val="009D26B5"/>
    <w:rsid w:val="009D5121"/>
    <w:rsid w:val="009E0854"/>
    <w:rsid w:val="009E3AE4"/>
    <w:rsid w:val="009E4E5F"/>
    <w:rsid w:val="009E54CE"/>
    <w:rsid w:val="009F461F"/>
    <w:rsid w:val="009F47FE"/>
    <w:rsid w:val="009F6BA9"/>
    <w:rsid w:val="00A0071E"/>
    <w:rsid w:val="00A00C5E"/>
    <w:rsid w:val="00A01B28"/>
    <w:rsid w:val="00A106A7"/>
    <w:rsid w:val="00A15177"/>
    <w:rsid w:val="00A17249"/>
    <w:rsid w:val="00A20466"/>
    <w:rsid w:val="00A222F5"/>
    <w:rsid w:val="00A263D2"/>
    <w:rsid w:val="00A331AC"/>
    <w:rsid w:val="00A45624"/>
    <w:rsid w:val="00A50BA4"/>
    <w:rsid w:val="00A5681D"/>
    <w:rsid w:val="00A628A7"/>
    <w:rsid w:val="00A6368D"/>
    <w:rsid w:val="00A64D7C"/>
    <w:rsid w:val="00A64F66"/>
    <w:rsid w:val="00A657B8"/>
    <w:rsid w:val="00A67E5D"/>
    <w:rsid w:val="00A71304"/>
    <w:rsid w:val="00A71C86"/>
    <w:rsid w:val="00A71ECE"/>
    <w:rsid w:val="00AA6B09"/>
    <w:rsid w:val="00AA7258"/>
    <w:rsid w:val="00AB16A4"/>
    <w:rsid w:val="00AC0679"/>
    <w:rsid w:val="00AC0D7A"/>
    <w:rsid w:val="00AC1E26"/>
    <w:rsid w:val="00AC5226"/>
    <w:rsid w:val="00AC60FB"/>
    <w:rsid w:val="00AD0E21"/>
    <w:rsid w:val="00AD1BB9"/>
    <w:rsid w:val="00AD2D1E"/>
    <w:rsid w:val="00AD36F5"/>
    <w:rsid w:val="00AE2028"/>
    <w:rsid w:val="00AE2BE6"/>
    <w:rsid w:val="00AE34FE"/>
    <w:rsid w:val="00AE45FC"/>
    <w:rsid w:val="00AE571C"/>
    <w:rsid w:val="00AF5269"/>
    <w:rsid w:val="00AF7266"/>
    <w:rsid w:val="00B05C4C"/>
    <w:rsid w:val="00B1101F"/>
    <w:rsid w:val="00B14EB1"/>
    <w:rsid w:val="00B16F61"/>
    <w:rsid w:val="00B20F2C"/>
    <w:rsid w:val="00B2465D"/>
    <w:rsid w:val="00B24CD4"/>
    <w:rsid w:val="00B256E2"/>
    <w:rsid w:val="00B25D73"/>
    <w:rsid w:val="00B32BFE"/>
    <w:rsid w:val="00B4153D"/>
    <w:rsid w:val="00B46342"/>
    <w:rsid w:val="00B51426"/>
    <w:rsid w:val="00B5247B"/>
    <w:rsid w:val="00B52E7A"/>
    <w:rsid w:val="00B61F9C"/>
    <w:rsid w:val="00B6208C"/>
    <w:rsid w:val="00B623BA"/>
    <w:rsid w:val="00B636CB"/>
    <w:rsid w:val="00B658B9"/>
    <w:rsid w:val="00B71FC6"/>
    <w:rsid w:val="00B729ED"/>
    <w:rsid w:val="00B80346"/>
    <w:rsid w:val="00B826B2"/>
    <w:rsid w:val="00B86D0A"/>
    <w:rsid w:val="00B907BF"/>
    <w:rsid w:val="00B91C1E"/>
    <w:rsid w:val="00B91F65"/>
    <w:rsid w:val="00B94F0C"/>
    <w:rsid w:val="00BA20CF"/>
    <w:rsid w:val="00BB1366"/>
    <w:rsid w:val="00BB146F"/>
    <w:rsid w:val="00BB341F"/>
    <w:rsid w:val="00BC0B8B"/>
    <w:rsid w:val="00BC2BF7"/>
    <w:rsid w:val="00BC43E6"/>
    <w:rsid w:val="00BD5FA6"/>
    <w:rsid w:val="00BE1C35"/>
    <w:rsid w:val="00BE24A2"/>
    <w:rsid w:val="00BE70CB"/>
    <w:rsid w:val="00BF2C90"/>
    <w:rsid w:val="00BF2EA1"/>
    <w:rsid w:val="00BF3718"/>
    <w:rsid w:val="00BF37DE"/>
    <w:rsid w:val="00BF50CF"/>
    <w:rsid w:val="00BF7FBF"/>
    <w:rsid w:val="00C00AB5"/>
    <w:rsid w:val="00C0204A"/>
    <w:rsid w:val="00C076C6"/>
    <w:rsid w:val="00C163DD"/>
    <w:rsid w:val="00C20BAE"/>
    <w:rsid w:val="00C242FA"/>
    <w:rsid w:val="00C3157B"/>
    <w:rsid w:val="00C35893"/>
    <w:rsid w:val="00C36280"/>
    <w:rsid w:val="00C444EF"/>
    <w:rsid w:val="00C45897"/>
    <w:rsid w:val="00C5079F"/>
    <w:rsid w:val="00C51B24"/>
    <w:rsid w:val="00C5251C"/>
    <w:rsid w:val="00C5592C"/>
    <w:rsid w:val="00C55F9B"/>
    <w:rsid w:val="00C57DE0"/>
    <w:rsid w:val="00C61D1D"/>
    <w:rsid w:val="00C62C5C"/>
    <w:rsid w:val="00C64328"/>
    <w:rsid w:val="00C66C98"/>
    <w:rsid w:val="00C707B1"/>
    <w:rsid w:val="00C719E1"/>
    <w:rsid w:val="00C77B38"/>
    <w:rsid w:val="00C823AA"/>
    <w:rsid w:val="00C833B2"/>
    <w:rsid w:val="00C87F7B"/>
    <w:rsid w:val="00C90067"/>
    <w:rsid w:val="00C9514D"/>
    <w:rsid w:val="00C951E7"/>
    <w:rsid w:val="00C95462"/>
    <w:rsid w:val="00CB2F73"/>
    <w:rsid w:val="00CB40EF"/>
    <w:rsid w:val="00CB68EA"/>
    <w:rsid w:val="00CC033F"/>
    <w:rsid w:val="00CC0428"/>
    <w:rsid w:val="00CC363E"/>
    <w:rsid w:val="00CC4F10"/>
    <w:rsid w:val="00CC66E3"/>
    <w:rsid w:val="00CD2528"/>
    <w:rsid w:val="00CD6C9A"/>
    <w:rsid w:val="00CE0590"/>
    <w:rsid w:val="00CE22CB"/>
    <w:rsid w:val="00CE46B3"/>
    <w:rsid w:val="00CE63BC"/>
    <w:rsid w:val="00CE6874"/>
    <w:rsid w:val="00CF048C"/>
    <w:rsid w:val="00D01A5A"/>
    <w:rsid w:val="00D02BBE"/>
    <w:rsid w:val="00D11E60"/>
    <w:rsid w:val="00D1284B"/>
    <w:rsid w:val="00D20A70"/>
    <w:rsid w:val="00D24066"/>
    <w:rsid w:val="00D26BFF"/>
    <w:rsid w:val="00D2720B"/>
    <w:rsid w:val="00D319DD"/>
    <w:rsid w:val="00D3312C"/>
    <w:rsid w:val="00D4030C"/>
    <w:rsid w:val="00D45A46"/>
    <w:rsid w:val="00D479E8"/>
    <w:rsid w:val="00D54155"/>
    <w:rsid w:val="00D5436D"/>
    <w:rsid w:val="00D565AA"/>
    <w:rsid w:val="00D56DE4"/>
    <w:rsid w:val="00D61BF0"/>
    <w:rsid w:val="00D626C3"/>
    <w:rsid w:val="00D7054C"/>
    <w:rsid w:val="00D75768"/>
    <w:rsid w:val="00D805BB"/>
    <w:rsid w:val="00D94995"/>
    <w:rsid w:val="00D949D1"/>
    <w:rsid w:val="00D951CB"/>
    <w:rsid w:val="00DA40D6"/>
    <w:rsid w:val="00DB2007"/>
    <w:rsid w:val="00DC0E28"/>
    <w:rsid w:val="00DC3B85"/>
    <w:rsid w:val="00DD05F5"/>
    <w:rsid w:val="00DD1970"/>
    <w:rsid w:val="00DD4804"/>
    <w:rsid w:val="00DE37F7"/>
    <w:rsid w:val="00DE6351"/>
    <w:rsid w:val="00DF07A4"/>
    <w:rsid w:val="00DF18DE"/>
    <w:rsid w:val="00DF1B3C"/>
    <w:rsid w:val="00DF29B3"/>
    <w:rsid w:val="00DF5D74"/>
    <w:rsid w:val="00DF6471"/>
    <w:rsid w:val="00E029FE"/>
    <w:rsid w:val="00E03C2C"/>
    <w:rsid w:val="00E10174"/>
    <w:rsid w:val="00E1050D"/>
    <w:rsid w:val="00E11B63"/>
    <w:rsid w:val="00E21F79"/>
    <w:rsid w:val="00E22EF9"/>
    <w:rsid w:val="00E23406"/>
    <w:rsid w:val="00E27CEB"/>
    <w:rsid w:val="00E27F2C"/>
    <w:rsid w:val="00E30A93"/>
    <w:rsid w:val="00E47428"/>
    <w:rsid w:val="00E53993"/>
    <w:rsid w:val="00E56E59"/>
    <w:rsid w:val="00E65D3C"/>
    <w:rsid w:val="00E65EDB"/>
    <w:rsid w:val="00E66448"/>
    <w:rsid w:val="00E67C40"/>
    <w:rsid w:val="00E7293D"/>
    <w:rsid w:val="00E76B77"/>
    <w:rsid w:val="00E77D74"/>
    <w:rsid w:val="00E84632"/>
    <w:rsid w:val="00E9104E"/>
    <w:rsid w:val="00E948AD"/>
    <w:rsid w:val="00E97C83"/>
    <w:rsid w:val="00EA4B76"/>
    <w:rsid w:val="00EB03B6"/>
    <w:rsid w:val="00EB4941"/>
    <w:rsid w:val="00EB69B4"/>
    <w:rsid w:val="00EC4094"/>
    <w:rsid w:val="00ED0596"/>
    <w:rsid w:val="00ED30A5"/>
    <w:rsid w:val="00ED4ECA"/>
    <w:rsid w:val="00EF22F2"/>
    <w:rsid w:val="00EF609F"/>
    <w:rsid w:val="00F001D8"/>
    <w:rsid w:val="00F00215"/>
    <w:rsid w:val="00F065E6"/>
    <w:rsid w:val="00F10F6B"/>
    <w:rsid w:val="00F14D0E"/>
    <w:rsid w:val="00F21DEE"/>
    <w:rsid w:val="00F2243C"/>
    <w:rsid w:val="00F22DBA"/>
    <w:rsid w:val="00F2422A"/>
    <w:rsid w:val="00F271BD"/>
    <w:rsid w:val="00F27D58"/>
    <w:rsid w:val="00F330D6"/>
    <w:rsid w:val="00F3636F"/>
    <w:rsid w:val="00F42A9F"/>
    <w:rsid w:val="00F43965"/>
    <w:rsid w:val="00F534CD"/>
    <w:rsid w:val="00F55754"/>
    <w:rsid w:val="00F55C01"/>
    <w:rsid w:val="00F5723D"/>
    <w:rsid w:val="00F62230"/>
    <w:rsid w:val="00F72E0D"/>
    <w:rsid w:val="00F80491"/>
    <w:rsid w:val="00F8320E"/>
    <w:rsid w:val="00F832EB"/>
    <w:rsid w:val="00F843CA"/>
    <w:rsid w:val="00F85538"/>
    <w:rsid w:val="00F85C5C"/>
    <w:rsid w:val="00F9032B"/>
    <w:rsid w:val="00F936BB"/>
    <w:rsid w:val="00FA1475"/>
    <w:rsid w:val="00FA2BD0"/>
    <w:rsid w:val="00FA378E"/>
    <w:rsid w:val="00FA65C2"/>
    <w:rsid w:val="00FA6CCF"/>
    <w:rsid w:val="00FA7090"/>
    <w:rsid w:val="00FB51CB"/>
    <w:rsid w:val="00FB7E0B"/>
    <w:rsid w:val="00FD35B4"/>
    <w:rsid w:val="00FD4EC0"/>
    <w:rsid w:val="00FE7FB5"/>
    <w:rsid w:val="00FF415E"/>
    <w:rsid w:val="00FF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cs="Times New Roman"/>
      <w:sz w:val="24"/>
      <w:szCs w:val="24"/>
    </w:rPr>
  </w:style>
  <w:style w:type="paragraph" w:styleId="1">
    <w:name w:val="heading 1"/>
    <w:basedOn w:val="a"/>
    <w:next w:val="a"/>
    <w:link w:val="10"/>
    <w:qFormat/>
    <w:pPr>
      <w:keepNext/>
      <w:ind w:firstLine="720"/>
      <w:jc w:val="center"/>
      <w:outlineLvl w:val="0"/>
    </w:pPr>
    <w:rPr>
      <w:rFonts w:ascii="Cambria" w:hAnsi="Cambria"/>
      <w:b/>
      <w:bCs/>
      <w:kern w:val="32"/>
      <w:sz w:val="32"/>
      <w:szCs w:val="32"/>
      <w:lang w:val="x-none" w:eastAsia="x-none"/>
    </w:rPr>
  </w:style>
  <w:style w:type="paragraph" w:styleId="2">
    <w:name w:val="heading 2"/>
    <w:basedOn w:val="a"/>
    <w:next w:val="a"/>
    <w:link w:val="20"/>
    <w:qFormat/>
    <w:pPr>
      <w:keepNext/>
      <w:ind w:firstLine="720"/>
      <w:jc w:val="center"/>
      <w:outlineLvl w:val="1"/>
    </w:pPr>
    <w:rPr>
      <w:rFonts w:ascii="Cambria" w:hAnsi="Cambria"/>
      <w:b/>
      <w:bCs/>
      <w:i/>
      <w:iCs/>
      <w:sz w:val="28"/>
      <w:szCs w:val="28"/>
      <w:lang w:val="x-none" w:eastAsia="x-none"/>
    </w:rPr>
  </w:style>
  <w:style w:type="paragraph" w:styleId="3">
    <w:name w:val="heading 3"/>
    <w:basedOn w:val="a"/>
    <w:next w:val="a"/>
    <w:link w:val="30"/>
    <w:qFormat/>
    <w:pPr>
      <w:keepNext/>
      <w:ind w:firstLine="851"/>
      <w:jc w:val="center"/>
      <w:outlineLvl w:val="2"/>
    </w:pPr>
    <w:rPr>
      <w:rFonts w:ascii="Cambria" w:hAnsi="Cambria"/>
      <w:b/>
      <w:bCs/>
      <w:sz w:val="26"/>
      <w:szCs w:val="26"/>
      <w:lang w:val="x-none" w:eastAsia="x-none"/>
    </w:rPr>
  </w:style>
  <w:style w:type="paragraph" w:styleId="4">
    <w:name w:val="heading 4"/>
    <w:basedOn w:val="a"/>
    <w:next w:val="a"/>
    <w:link w:val="40"/>
    <w:qFormat/>
    <w:pPr>
      <w:keepNext/>
      <w:ind w:firstLine="851"/>
      <w:jc w:val="both"/>
      <w:outlineLvl w:val="3"/>
    </w:pPr>
    <w:rPr>
      <w:rFonts w:ascii="Calibri" w:hAnsi="Calibri"/>
      <w:b/>
      <w:bCs/>
      <w:sz w:val="28"/>
      <w:szCs w:val="28"/>
      <w:lang w:val="x-none" w:eastAsia="x-none"/>
    </w:rPr>
  </w:style>
  <w:style w:type="paragraph" w:styleId="7">
    <w:name w:val="heading 7"/>
    <w:basedOn w:val="a"/>
    <w:next w:val="a"/>
    <w:link w:val="70"/>
    <w:qFormat/>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70">
    <w:name w:val="Заголовок 7 Знак"/>
    <w:link w:val="7"/>
    <w:locked/>
    <w:rPr>
      <w:rFonts w:ascii="Calibri" w:hAnsi="Calibri" w:cs="Calibri"/>
      <w:sz w:val="24"/>
      <w:szCs w:val="24"/>
    </w:rPr>
  </w:style>
  <w:style w:type="paragraph" w:styleId="a3">
    <w:name w:val="Title"/>
    <w:basedOn w:val="a"/>
    <w:link w:val="11"/>
    <w:qFormat/>
    <w:pPr>
      <w:ind w:firstLine="851"/>
      <w:jc w:val="center"/>
    </w:pPr>
    <w:rPr>
      <w:rFonts w:ascii="Cambria" w:hAnsi="Cambria"/>
      <w:b/>
      <w:bCs/>
      <w:kern w:val="28"/>
      <w:sz w:val="32"/>
      <w:szCs w:val="32"/>
      <w:lang w:val="x-none" w:eastAsia="x-none"/>
    </w:rPr>
  </w:style>
  <w:style w:type="character" w:customStyle="1" w:styleId="11">
    <w:name w:val="Название Знак1"/>
    <w:link w:val="a3"/>
    <w:locked/>
    <w:rPr>
      <w:rFonts w:ascii="Cambria" w:hAnsi="Cambria" w:cs="Cambria"/>
      <w:b/>
      <w:bCs/>
      <w:kern w:val="28"/>
      <w:sz w:val="32"/>
      <w:szCs w:val="32"/>
    </w:rPr>
  </w:style>
  <w:style w:type="paragraph" w:styleId="21">
    <w:name w:val="Body Text 2"/>
    <w:basedOn w:val="a"/>
    <w:link w:val="22"/>
    <w:pPr>
      <w:ind w:firstLine="851"/>
      <w:jc w:val="both"/>
    </w:pPr>
    <w:rPr>
      <w:lang w:val="x-none" w:eastAsia="x-none"/>
    </w:rPr>
  </w:style>
  <w:style w:type="character" w:customStyle="1" w:styleId="22">
    <w:name w:val="Основной текст 2 Знак"/>
    <w:link w:val="21"/>
    <w:locked/>
    <w:rPr>
      <w:rFonts w:ascii="Times New Roman" w:hAnsi="Times New Roman" w:cs="Times New Roman"/>
      <w:sz w:val="24"/>
      <w:szCs w:val="24"/>
    </w:rPr>
  </w:style>
  <w:style w:type="paragraph" w:styleId="23">
    <w:name w:val="Body Text Indent 2"/>
    <w:basedOn w:val="a"/>
    <w:link w:val="24"/>
    <w:pPr>
      <w:ind w:left="851"/>
      <w:jc w:val="both"/>
    </w:pPr>
    <w:rPr>
      <w:lang w:val="x-none" w:eastAsia="x-none"/>
    </w:rPr>
  </w:style>
  <w:style w:type="character" w:customStyle="1" w:styleId="24">
    <w:name w:val="Основной текст с отступом 2 Знак"/>
    <w:link w:val="23"/>
    <w:locked/>
    <w:rPr>
      <w:rFonts w:ascii="Times New Roman" w:hAnsi="Times New Roman" w:cs="Times New Roman"/>
      <w:sz w:val="24"/>
      <w:szCs w:val="24"/>
    </w:rPr>
  </w:style>
  <w:style w:type="paragraph" w:styleId="31">
    <w:name w:val="Body Text Indent 3"/>
    <w:basedOn w:val="a"/>
    <w:link w:val="32"/>
    <w:pPr>
      <w:ind w:firstLine="900"/>
    </w:pPr>
    <w:rPr>
      <w:sz w:val="16"/>
      <w:szCs w:val="16"/>
      <w:lang w:val="x-none" w:eastAsia="x-none"/>
    </w:rPr>
  </w:style>
  <w:style w:type="character" w:customStyle="1" w:styleId="32">
    <w:name w:val="Основной текст с отступом 3 Знак"/>
    <w:link w:val="31"/>
    <w:locked/>
    <w:rPr>
      <w:rFonts w:ascii="Times New Roman" w:hAnsi="Times New Roman" w:cs="Times New Roman"/>
      <w:sz w:val="16"/>
      <w:szCs w:val="16"/>
    </w:rPr>
  </w:style>
  <w:style w:type="paragraph" w:styleId="a4">
    <w:name w:val="Balloon Text"/>
    <w:basedOn w:val="a"/>
    <w:link w:val="a5"/>
    <w:semiHidden/>
    <w:rPr>
      <w:rFonts w:ascii="Tahoma" w:hAnsi="Tahoma"/>
      <w:sz w:val="16"/>
      <w:szCs w:val="16"/>
      <w:lang w:val="x-none" w:eastAsia="x-none"/>
    </w:rPr>
  </w:style>
  <w:style w:type="character" w:customStyle="1" w:styleId="a5">
    <w:name w:val="Текст выноски Знак"/>
    <w:link w:val="a4"/>
    <w:locked/>
    <w:rPr>
      <w:rFonts w:ascii="Tahoma" w:hAnsi="Tahoma" w:cs="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6">
    <w:name w:val="Body Text Indent"/>
    <w:basedOn w:val="a"/>
    <w:link w:val="a7"/>
    <w:uiPriority w:val="99"/>
    <w:pPr>
      <w:spacing w:after="120"/>
      <w:ind w:left="283"/>
    </w:pPr>
    <w:rPr>
      <w:lang w:val="x-none" w:eastAsia="x-none"/>
    </w:rPr>
  </w:style>
  <w:style w:type="character" w:customStyle="1" w:styleId="a7">
    <w:name w:val="Основной текст с отступом Знак"/>
    <w:link w:val="a6"/>
    <w:uiPriority w:val="99"/>
    <w:locked/>
    <w:rPr>
      <w:rFonts w:ascii="Times New Roman" w:hAnsi="Times New Roman" w:cs="Times New Roman"/>
      <w:sz w:val="24"/>
      <w:szCs w:val="24"/>
    </w:rPr>
  </w:style>
  <w:style w:type="paragraph" w:customStyle="1" w:styleId="12">
    <w:name w:val="Без интервала1"/>
    <w:rPr>
      <w:rFonts w:ascii="Times New Roman" w:hAnsi="Times New Roman" w:cs="Times New Roman"/>
      <w:sz w:val="28"/>
      <w:szCs w:val="28"/>
    </w:rPr>
  </w:style>
  <w:style w:type="paragraph" w:customStyle="1" w:styleId="25">
    <w:name w:val="???????? ????? 2"/>
    <w:basedOn w:val="a"/>
    <w:pPr>
      <w:widowControl w:val="0"/>
      <w:ind w:right="-283" w:firstLine="567"/>
      <w:jc w:val="both"/>
    </w:pPr>
    <w:rPr>
      <w:sz w:val="26"/>
      <w:szCs w:val="26"/>
    </w:rPr>
  </w:style>
  <w:style w:type="character" w:styleId="a8">
    <w:name w:val="Hyperlink"/>
    <w:rPr>
      <w:color w:val="0000FF"/>
      <w:u w:val="single"/>
    </w:rPr>
  </w:style>
  <w:style w:type="character" w:styleId="a9">
    <w:name w:val="FollowedHyperlink"/>
    <w:rPr>
      <w:color w:val="800080"/>
      <w:u w:val="single"/>
    </w:rPr>
  </w:style>
  <w:style w:type="paragraph" w:customStyle="1" w:styleId="xl22">
    <w:name w:val="xl22"/>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6">
    <w:name w:val="xl26"/>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7">
    <w:name w:val="xl27"/>
    <w:basedOn w:val="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9">
    <w:name w:val="xl29"/>
    <w:basedOn w:val="a"/>
    <w:pPr>
      <w:pBdr>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33">
    <w:name w:val="xl33"/>
    <w:basedOn w:val="a"/>
    <w:pPr>
      <w:pBdr>
        <w:top w:val="single" w:sz="4" w:space="0" w:color="auto"/>
        <w:left w:val="single" w:sz="4" w:space="0" w:color="auto"/>
        <w:right w:val="single" w:sz="4" w:space="0" w:color="auto"/>
      </w:pBdr>
      <w:spacing w:before="100" w:beforeAutospacing="1" w:after="100" w:afterAutospacing="1"/>
    </w:pPr>
  </w:style>
  <w:style w:type="paragraph" w:customStyle="1" w:styleId="xl34">
    <w:name w:val="xl34"/>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5">
    <w:name w:val="xl35"/>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6">
    <w:name w:val="xl36"/>
    <w:basedOn w:val="a"/>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
    <w:name w:val="xl37"/>
    <w:basedOn w:val="a"/>
    <w:pPr>
      <w:pBdr>
        <w:top w:val="single" w:sz="8" w:space="0" w:color="auto"/>
        <w:bottom w:val="single" w:sz="4" w:space="0" w:color="auto"/>
      </w:pBdr>
      <w:spacing w:before="100" w:beforeAutospacing="1" w:after="100" w:afterAutospacing="1"/>
      <w:jc w:val="center"/>
      <w:textAlignment w:val="center"/>
    </w:pPr>
  </w:style>
  <w:style w:type="paragraph" w:customStyle="1" w:styleId="xl38">
    <w:name w:val="xl38"/>
    <w:basedOn w:val="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
    <w:name w:val="xl39"/>
    <w:basedOn w:val="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
    <w:name w:val="xl41"/>
    <w:basedOn w:val="a"/>
    <w:pPr>
      <w:pBdr>
        <w:top w:val="single" w:sz="4" w:space="0" w:color="auto"/>
        <w:bottom w:val="single" w:sz="4" w:space="0" w:color="auto"/>
      </w:pBdr>
      <w:spacing w:before="100" w:beforeAutospacing="1" w:after="100" w:afterAutospacing="1"/>
      <w:jc w:val="center"/>
      <w:textAlignment w:val="center"/>
    </w:pPr>
  </w:style>
  <w:style w:type="paragraph" w:customStyle="1" w:styleId="xl42">
    <w:name w:val="xl42"/>
    <w:basedOn w:val="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
    <w:name w:val="xl43"/>
    <w:basedOn w:val="a"/>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4">
    <w:name w:val="xl44"/>
    <w:basedOn w:val="a"/>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
    <w:name w:val="xl4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6">
    <w:name w:val="xl46"/>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8">
    <w:name w:val="xl48"/>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aa">
    <w:name w:val="Table Grid"/>
    <w:basedOn w:val="a1"/>
    <w:locked/>
    <w:rsid w:val="00FF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тиль"/>
    <w:rsid w:val="003823D6"/>
    <w:pPr>
      <w:widowControl w:val="0"/>
      <w:autoSpaceDE w:val="0"/>
      <w:autoSpaceDN w:val="0"/>
      <w:adjustRightInd w:val="0"/>
    </w:pPr>
    <w:rPr>
      <w:rFonts w:ascii="Times New Roman" w:hAnsi="Times New Roman" w:cs="Times New Roman"/>
      <w:sz w:val="24"/>
      <w:szCs w:val="24"/>
    </w:rPr>
  </w:style>
  <w:style w:type="paragraph" w:styleId="ac">
    <w:name w:val="Plain Text"/>
    <w:basedOn w:val="a"/>
    <w:link w:val="ad"/>
    <w:semiHidden/>
    <w:locked/>
    <w:rsid w:val="003832D2"/>
    <w:pPr>
      <w:widowControl w:val="0"/>
    </w:pPr>
    <w:rPr>
      <w:rFonts w:ascii="Courier New" w:hAnsi="Courier New"/>
      <w:sz w:val="20"/>
      <w:szCs w:val="20"/>
    </w:rPr>
  </w:style>
  <w:style w:type="character" w:customStyle="1" w:styleId="ad">
    <w:name w:val="Текст Знак"/>
    <w:link w:val="ac"/>
    <w:semiHidden/>
    <w:locked/>
    <w:rsid w:val="003832D2"/>
    <w:rPr>
      <w:rFonts w:ascii="Courier New" w:hAnsi="Courier New" w:cs="Courier New"/>
      <w:lang w:val="ru-RU" w:eastAsia="ru-RU"/>
    </w:rPr>
  </w:style>
  <w:style w:type="paragraph" w:customStyle="1" w:styleId="13">
    <w:name w:val="заголовок 1"/>
    <w:basedOn w:val="a"/>
    <w:next w:val="a"/>
    <w:rsid w:val="009E3AE4"/>
    <w:pPr>
      <w:keepNext/>
      <w:widowControl w:val="0"/>
      <w:jc w:val="center"/>
    </w:pPr>
    <w:rPr>
      <w:b/>
      <w:bCs/>
      <w:sz w:val="28"/>
      <w:szCs w:val="28"/>
    </w:rPr>
  </w:style>
  <w:style w:type="paragraph" w:styleId="ae">
    <w:name w:val="Normal (Web)"/>
    <w:aliases w:val="Обычный (веб)1,Обычный (веб) Знак,Обычный (веб) Знак1,Обычный (веб) Знак Знак,Обычный (Web)1 Знак,Обычный (Web),Обычный (Web)1,Обычный (веб)11,Обычный (веб) Знак Знак Знак,Обычный (веб) Знак Знак Знак Знак Знак"/>
    <w:basedOn w:val="a"/>
    <w:link w:val="26"/>
    <w:locked/>
    <w:rsid w:val="005F63E2"/>
    <w:pPr>
      <w:spacing w:before="100" w:beforeAutospacing="1" w:after="100" w:afterAutospacing="1"/>
    </w:pPr>
    <w:rPr>
      <w:rFonts w:ascii="Calibri" w:hAnsi="Calibri" w:cs="Calibri"/>
    </w:rPr>
  </w:style>
  <w:style w:type="character" w:customStyle="1" w:styleId="apple-converted-space">
    <w:name w:val="apple-converted-space"/>
    <w:basedOn w:val="a0"/>
    <w:rsid w:val="005F63E2"/>
  </w:style>
  <w:style w:type="character" w:styleId="af">
    <w:name w:val="Emphasis"/>
    <w:qFormat/>
    <w:rsid w:val="005F63E2"/>
    <w:rPr>
      <w:i/>
      <w:iCs/>
    </w:rPr>
  </w:style>
  <w:style w:type="character" w:customStyle="1" w:styleId="af0">
    <w:name w:val="Гипертекстовая ссылка"/>
    <w:rsid w:val="005F63E2"/>
    <w:rPr>
      <w:b/>
      <w:bCs/>
      <w:color w:val="008000"/>
    </w:rPr>
  </w:style>
  <w:style w:type="paragraph" w:customStyle="1" w:styleId="ConsPlusTitle">
    <w:name w:val="ConsPlusTitle"/>
    <w:rsid w:val="00AE571C"/>
    <w:pPr>
      <w:widowControl w:val="0"/>
      <w:autoSpaceDE w:val="0"/>
      <w:autoSpaceDN w:val="0"/>
      <w:adjustRightInd w:val="0"/>
    </w:pPr>
    <w:rPr>
      <w:rFonts w:ascii="Arial" w:eastAsia="Calibri" w:hAnsi="Arial" w:cs="Arial"/>
      <w:b/>
      <w:bCs/>
    </w:rPr>
  </w:style>
  <w:style w:type="character" w:customStyle="1" w:styleId="26">
    <w:name w:val="Обычный (веб) Знак2"/>
    <w:aliases w:val="Обычный (веб)1 Знак,Обычный (веб) Знак Знак1,Обычный (веб) Знак1 Знак,Обычный (веб) Знак Знак Знак1,Обычный (Web)1 Знак Знак,Обычный (Web) Знак,Обычный (Web)1 Знак1,Обычный (веб)11 Знак,Обычный (веб) Знак Знак Знак Знак"/>
    <w:link w:val="ae"/>
    <w:locked/>
    <w:rsid w:val="007A3839"/>
    <w:rPr>
      <w:sz w:val="24"/>
      <w:szCs w:val="24"/>
      <w:lang w:val="ru-RU" w:eastAsia="ru-RU" w:bidi="ar-SA"/>
    </w:rPr>
  </w:style>
  <w:style w:type="paragraph" w:styleId="af1">
    <w:name w:val="footer"/>
    <w:basedOn w:val="a"/>
    <w:locked/>
    <w:rsid w:val="0098105D"/>
    <w:pPr>
      <w:tabs>
        <w:tab w:val="center" w:pos="4677"/>
        <w:tab w:val="right" w:pos="9355"/>
      </w:tabs>
    </w:pPr>
  </w:style>
  <w:style w:type="character" w:styleId="af2">
    <w:name w:val="page number"/>
    <w:basedOn w:val="a0"/>
    <w:locked/>
    <w:rsid w:val="0098105D"/>
  </w:style>
  <w:style w:type="character" w:styleId="af3">
    <w:name w:val="Strong"/>
    <w:qFormat/>
    <w:rsid w:val="00192513"/>
    <w:rPr>
      <w:b/>
      <w:bCs/>
    </w:rPr>
  </w:style>
  <w:style w:type="character" w:customStyle="1" w:styleId="af4">
    <w:name w:val="Название Знак"/>
    <w:locked/>
    <w:rsid w:val="003131E5"/>
    <w:rPr>
      <w:b/>
      <w:bCs/>
      <w:sz w:val="28"/>
      <w:szCs w:val="28"/>
      <w:u w:val="single"/>
      <w:lang w:val="ru-RU" w:eastAsia="ru-RU" w:bidi="ar-SA"/>
    </w:rPr>
  </w:style>
  <w:style w:type="paragraph" w:customStyle="1" w:styleId="210">
    <w:name w:val="Основной текст с отступом 21"/>
    <w:basedOn w:val="a"/>
    <w:rsid w:val="00357708"/>
    <w:pPr>
      <w:spacing w:after="120" w:line="480" w:lineRule="auto"/>
      <w:ind w:left="283"/>
    </w:pPr>
  </w:style>
  <w:style w:type="paragraph" w:styleId="af5">
    <w:name w:val="No Spacing"/>
    <w:uiPriority w:val="1"/>
    <w:qFormat/>
    <w:rsid w:val="009E54CE"/>
    <w:rPr>
      <w:rFonts w:cs="Times New Roman"/>
      <w:sz w:val="22"/>
      <w:szCs w:val="22"/>
    </w:rPr>
  </w:style>
  <w:style w:type="paragraph" w:customStyle="1" w:styleId="af6">
    <w:name w:val="Прижатый влево"/>
    <w:basedOn w:val="a"/>
    <w:next w:val="a"/>
    <w:uiPriority w:val="99"/>
    <w:rsid w:val="009E54CE"/>
    <w:pPr>
      <w:widowControl w:val="0"/>
      <w:autoSpaceDE w:val="0"/>
      <w:autoSpaceDN w:val="0"/>
      <w:adjustRightInd w:val="0"/>
    </w:pPr>
    <w:rPr>
      <w:rFonts w:ascii="Arial" w:hAnsi="Arial" w:cs="Arial"/>
    </w:rPr>
  </w:style>
  <w:style w:type="paragraph" w:styleId="af7">
    <w:name w:val="header"/>
    <w:basedOn w:val="a"/>
    <w:link w:val="af8"/>
    <w:uiPriority w:val="99"/>
    <w:locked/>
    <w:rsid w:val="005B744E"/>
    <w:pPr>
      <w:tabs>
        <w:tab w:val="center" w:pos="4677"/>
        <w:tab w:val="right" w:pos="9355"/>
      </w:tabs>
    </w:pPr>
    <w:rPr>
      <w:lang w:val="x-none" w:eastAsia="x-none"/>
    </w:rPr>
  </w:style>
  <w:style w:type="character" w:customStyle="1" w:styleId="af8">
    <w:name w:val="Верхний колонтитул Знак"/>
    <w:link w:val="af7"/>
    <w:uiPriority w:val="99"/>
    <w:rsid w:val="005B744E"/>
    <w:rPr>
      <w:rFonts w:ascii="Times New Roman" w:hAnsi="Times New Roman" w:cs="Times New Roman"/>
      <w:sz w:val="24"/>
      <w:szCs w:val="24"/>
    </w:rPr>
  </w:style>
  <w:style w:type="paragraph" w:styleId="af9">
    <w:name w:val="Body Text"/>
    <w:basedOn w:val="a"/>
    <w:link w:val="afa"/>
    <w:locked/>
    <w:rsid w:val="0018436B"/>
    <w:pPr>
      <w:spacing w:after="120"/>
    </w:pPr>
  </w:style>
  <w:style w:type="character" w:customStyle="1" w:styleId="afa">
    <w:name w:val="Основной текст Знак"/>
    <w:link w:val="af9"/>
    <w:rsid w:val="0018436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cs="Times New Roman"/>
      <w:sz w:val="24"/>
      <w:szCs w:val="24"/>
    </w:rPr>
  </w:style>
  <w:style w:type="paragraph" w:styleId="1">
    <w:name w:val="heading 1"/>
    <w:basedOn w:val="a"/>
    <w:next w:val="a"/>
    <w:link w:val="10"/>
    <w:qFormat/>
    <w:pPr>
      <w:keepNext/>
      <w:ind w:firstLine="720"/>
      <w:jc w:val="center"/>
      <w:outlineLvl w:val="0"/>
    </w:pPr>
    <w:rPr>
      <w:rFonts w:ascii="Cambria" w:hAnsi="Cambria"/>
      <w:b/>
      <w:bCs/>
      <w:kern w:val="32"/>
      <w:sz w:val="32"/>
      <w:szCs w:val="32"/>
      <w:lang w:val="x-none" w:eastAsia="x-none"/>
    </w:rPr>
  </w:style>
  <w:style w:type="paragraph" w:styleId="2">
    <w:name w:val="heading 2"/>
    <w:basedOn w:val="a"/>
    <w:next w:val="a"/>
    <w:link w:val="20"/>
    <w:qFormat/>
    <w:pPr>
      <w:keepNext/>
      <w:ind w:firstLine="720"/>
      <w:jc w:val="center"/>
      <w:outlineLvl w:val="1"/>
    </w:pPr>
    <w:rPr>
      <w:rFonts w:ascii="Cambria" w:hAnsi="Cambria"/>
      <w:b/>
      <w:bCs/>
      <w:i/>
      <w:iCs/>
      <w:sz w:val="28"/>
      <w:szCs w:val="28"/>
      <w:lang w:val="x-none" w:eastAsia="x-none"/>
    </w:rPr>
  </w:style>
  <w:style w:type="paragraph" w:styleId="3">
    <w:name w:val="heading 3"/>
    <w:basedOn w:val="a"/>
    <w:next w:val="a"/>
    <w:link w:val="30"/>
    <w:qFormat/>
    <w:pPr>
      <w:keepNext/>
      <w:ind w:firstLine="851"/>
      <w:jc w:val="center"/>
      <w:outlineLvl w:val="2"/>
    </w:pPr>
    <w:rPr>
      <w:rFonts w:ascii="Cambria" w:hAnsi="Cambria"/>
      <w:b/>
      <w:bCs/>
      <w:sz w:val="26"/>
      <w:szCs w:val="26"/>
      <w:lang w:val="x-none" w:eastAsia="x-none"/>
    </w:rPr>
  </w:style>
  <w:style w:type="paragraph" w:styleId="4">
    <w:name w:val="heading 4"/>
    <w:basedOn w:val="a"/>
    <w:next w:val="a"/>
    <w:link w:val="40"/>
    <w:qFormat/>
    <w:pPr>
      <w:keepNext/>
      <w:ind w:firstLine="851"/>
      <w:jc w:val="both"/>
      <w:outlineLvl w:val="3"/>
    </w:pPr>
    <w:rPr>
      <w:rFonts w:ascii="Calibri" w:hAnsi="Calibri"/>
      <w:b/>
      <w:bCs/>
      <w:sz w:val="28"/>
      <w:szCs w:val="28"/>
      <w:lang w:val="x-none" w:eastAsia="x-none"/>
    </w:rPr>
  </w:style>
  <w:style w:type="paragraph" w:styleId="7">
    <w:name w:val="heading 7"/>
    <w:basedOn w:val="a"/>
    <w:next w:val="a"/>
    <w:link w:val="70"/>
    <w:qFormat/>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70">
    <w:name w:val="Заголовок 7 Знак"/>
    <w:link w:val="7"/>
    <w:locked/>
    <w:rPr>
      <w:rFonts w:ascii="Calibri" w:hAnsi="Calibri" w:cs="Calibri"/>
      <w:sz w:val="24"/>
      <w:szCs w:val="24"/>
    </w:rPr>
  </w:style>
  <w:style w:type="paragraph" w:styleId="a3">
    <w:name w:val="Title"/>
    <w:basedOn w:val="a"/>
    <w:link w:val="11"/>
    <w:qFormat/>
    <w:pPr>
      <w:ind w:firstLine="851"/>
      <w:jc w:val="center"/>
    </w:pPr>
    <w:rPr>
      <w:rFonts w:ascii="Cambria" w:hAnsi="Cambria"/>
      <w:b/>
      <w:bCs/>
      <w:kern w:val="28"/>
      <w:sz w:val="32"/>
      <w:szCs w:val="32"/>
      <w:lang w:val="x-none" w:eastAsia="x-none"/>
    </w:rPr>
  </w:style>
  <w:style w:type="character" w:customStyle="1" w:styleId="11">
    <w:name w:val="Название Знак1"/>
    <w:link w:val="a3"/>
    <w:locked/>
    <w:rPr>
      <w:rFonts w:ascii="Cambria" w:hAnsi="Cambria" w:cs="Cambria"/>
      <w:b/>
      <w:bCs/>
      <w:kern w:val="28"/>
      <w:sz w:val="32"/>
      <w:szCs w:val="32"/>
    </w:rPr>
  </w:style>
  <w:style w:type="paragraph" w:styleId="21">
    <w:name w:val="Body Text 2"/>
    <w:basedOn w:val="a"/>
    <w:link w:val="22"/>
    <w:pPr>
      <w:ind w:firstLine="851"/>
      <w:jc w:val="both"/>
    </w:pPr>
    <w:rPr>
      <w:lang w:val="x-none" w:eastAsia="x-none"/>
    </w:rPr>
  </w:style>
  <w:style w:type="character" w:customStyle="1" w:styleId="22">
    <w:name w:val="Основной текст 2 Знак"/>
    <w:link w:val="21"/>
    <w:locked/>
    <w:rPr>
      <w:rFonts w:ascii="Times New Roman" w:hAnsi="Times New Roman" w:cs="Times New Roman"/>
      <w:sz w:val="24"/>
      <w:szCs w:val="24"/>
    </w:rPr>
  </w:style>
  <w:style w:type="paragraph" w:styleId="23">
    <w:name w:val="Body Text Indent 2"/>
    <w:basedOn w:val="a"/>
    <w:link w:val="24"/>
    <w:pPr>
      <w:ind w:left="851"/>
      <w:jc w:val="both"/>
    </w:pPr>
    <w:rPr>
      <w:lang w:val="x-none" w:eastAsia="x-none"/>
    </w:rPr>
  </w:style>
  <w:style w:type="character" w:customStyle="1" w:styleId="24">
    <w:name w:val="Основной текст с отступом 2 Знак"/>
    <w:link w:val="23"/>
    <w:locked/>
    <w:rPr>
      <w:rFonts w:ascii="Times New Roman" w:hAnsi="Times New Roman" w:cs="Times New Roman"/>
      <w:sz w:val="24"/>
      <w:szCs w:val="24"/>
    </w:rPr>
  </w:style>
  <w:style w:type="paragraph" w:styleId="31">
    <w:name w:val="Body Text Indent 3"/>
    <w:basedOn w:val="a"/>
    <w:link w:val="32"/>
    <w:pPr>
      <w:ind w:firstLine="900"/>
    </w:pPr>
    <w:rPr>
      <w:sz w:val="16"/>
      <w:szCs w:val="16"/>
      <w:lang w:val="x-none" w:eastAsia="x-none"/>
    </w:rPr>
  </w:style>
  <w:style w:type="character" w:customStyle="1" w:styleId="32">
    <w:name w:val="Основной текст с отступом 3 Знак"/>
    <w:link w:val="31"/>
    <w:locked/>
    <w:rPr>
      <w:rFonts w:ascii="Times New Roman" w:hAnsi="Times New Roman" w:cs="Times New Roman"/>
      <w:sz w:val="16"/>
      <w:szCs w:val="16"/>
    </w:rPr>
  </w:style>
  <w:style w:type="paragraph" w:styleId="a4">
    <w:name w:val="Balloon Text"/>
    <w:basedOn w:val="a"/>
    <w:link w:val="a5"/>
    <w:semiHidden/>
    <w:rPr>
      <w:rFonts w:ascii="Tahoma" w:hAnsi="Tahoma"/>
      <w:sz w:val="16"/>
      <w:szCs w:val="16"/>
      <w:lang w:val="x-none" w:eastAsia="x-none"/>
    </w:rPr>
  </w:style>
  <w:style w:type="character" w:customStyle="1" w:styleId="a5">
    <w:name w:val="Текст выноски Знак"/>
    <w:link w:val="a4"/>
    <w:locked/>
    <w:rPr>
      <w:rFonts w:ascii="Tahoma" w:hAnsi="Tahoma" w:cs="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6">
    <w:name w:val="Body Text Indent"/>
    <w:basedOn w:val="a"/>
    <w:link w:val="a7"/>
    <w:uiPriority w:val="99"/>
    <w:pPr>
      <w:spacing w:after="120"/>
      <w:ind w:left="283"/>
    </w:pPr>
    <w:rPr>
      <w:lang w:val="x-none" w:eastAsia="x-none"/>
    </w:rPr>
  </w:style>
  <w:style w:type="character" w:customStyle="1" w:styleId="a7">
    <w:name w:val="Основной текст с отступом Знак"/>
    <w:link w:val="a6"/>
    <w:uiPriority w:val="99"/>
    <w:locked/>
    <w:rPr>
      <w:rFonts w:ascii="Times New Roman" w:hAnsi="Times New Roman" w:cs="Times New Roman"/>
      <w:sz w:val="24"/>
      <w:szCs w:val="24"/>
    </w:rPr>
  </w:style>
  <w:style w:type="paragraph" w:customStyle="1" w:styleId="12">
    <w:name w:val="Без интервала1"/>
    <w:rPr>
      <w:rFonts w:ascii="Times New Roman" w:hAnsi="Times New Roman" w:cs="Times New Roman"/>
      <w:sz w:val="28"/>
      <w:szCs w:val="28"/>
    </w:rPr>
  </w:style>
  <w:style w:type="paragraph" w:customStyle="1" w:styleId="25">
    <w:name w:val="???????? ????? 2"/>
    <w:basedOn w:val="a"/>
    <w:pPr>
      <w:widowControl w:val="0"/>
      <w:ind w:right="-283" w:firstLine="567"/>
      <w:jc w:val="both"/>
    </w:pPr>
    <w:rPr>
      <w:sz w:val="26"/>
      <w:szCs w:val="26"/>
    </w:rPr>
  </w:style>
  <w:style w:type="character" w:styleId="a8">
    <w:name w:val="Hyperlink"/>
    <w:rPr>
      <w:color w:val="0000FF"/>
      <w:u w:val="single"/>
    </w:rPr>
  </w:style>
  <w:style w:type="character" w:styleId="a9">
    <w:name w:val="FollowedHyperlink"/>
    <w:rPr>
      <w:color w:val="800080"/>
      <w:u w:val="single"/>
    </w:rPr>
  </w:style>
  <w:style w:type="paragraph" w:customStyle="1" w:styleId="xl22">
    <w:name w:val="xl22"/>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6">
    <w:name w:val="xl26"/>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7">
    <w:name w:val="xl27"/>
    <w:basedOn w:val="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9">
    <w:name w:val="xl29"/>
    <w:basedOn w:val="a"/>
    <w:pPr>
      <w:pBdr>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33">
    <w:name w:val="xl33"/>
    <w:basedOn w:val="a"/>
    <w:pPr>
      <w:pBdr>
        <w:top w:val="single" w:sz="4" w:space="0" w:color="auto"/>
        <w:left w:val="single" w:sz="4" w:space="0" w:color="auto"/>
        <w:right w:val="single" w:sz="4" w:space="0" w:color="auto"/>
      </w:pBdr>
      <w:spacing w:before="100" w:beforeAutospacing="1" w:after="100" w:afterAutospacing="1"/>
    </w:pPr>
  </w:style>
  <w:style w:type="paragraph" w:customStyle="1" w:styleId="xl34">
    <w:name w:val="xl34"/>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5">
    <w:name w:val="xl35"/>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6">
    <w:name w:val="xl36"/>
    <w:basedOn w:val="a"/>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
    <w:name w:val="xl37"/>
    <w:basedOn w:val="a"/>
    <w:pPr>
      <w:pBdr>
        <w:top w:val="single" w:sz="8" w:space="0" w:color="auto"/>
        <w:bottom w:val="single" w:sz="4" w:space="0" w:color="auto"/>
      </w:pBdr>
      <w:spacing w:before="100" w:beforeAutospacing="1" w:after="100" w:afterAutospacing="1"/>
      <w:jc w:val="center"/>
      <w:textAlignment w:val="center"/>
    </w:pPr>
  </w:style>
  <w:style w:type="paragraph" w:customStyle="1" w:styleId="xl38">
    <w:name w:val="xl38"/>
    <w:basedOn w:val="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
    <w:name w:val="xl39"/>
    <w:basedOn w:val="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
    <w:name w:val="xl41"/>
    <w:basedOn w:val="a"/>
    <w:pPr>
      <w:pBdr>
        <w:top w:val="single" w:sz="4" w:space="0" w:color="auto"/>
        <w:bottom w:val="single" w:sz="4" w:space="0" w:color="auto"/>
      </w:pBdr>
      <w:spacing w:before="100" w:beforeAutospacing="1" w:after="100" w:afterAutospacing="1"/>
      <w:jc w:val="center"/>
      <w:textAlignment w:val="center"/>
    </w:pPr>
  </w:style>
  <w:style w:type="paragraph" w:customStyle="1" w:styleId="xl42">
    <w:name w:val="xl42"/>
    <w:basedOn w:val="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
    <w:name w:val="xl43"/>
    <w:basedOn w:val="a"/>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4">
    <w:name w:val="xl44"/>
    <w:basedOn w:val="a"/>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
    <w:name w:val="xl4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6">
    <w:name w:val="xl46"/>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8">
    <w:name w:val="xl48"/>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aa">
    <w:name w:val="Table Grid"/>
    <w:basedOn w:val="a1"/>
    <w:locked/>
    <w:rsid w:val="00FF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тиль"/>
    <w:rsid w:val="003823D6"/>
    <w:pPr>
      <w:widowControl w:val="0"/>
      <w:autoSpaceDE w:val="0"/>
      <w:autoSpaceDN w:val="0"/>
      <w:adjustRightInd w:val="0"/>
    </w:pPr>
    <w:rPr>
      <w:rFonts w:ascii="Times New Roman" w:hAnsi="Times New Roman" w:cs="Times New Roman"/>
      <w:sz w:val="24"/>
      <w:szCs w:val="24"/>
    </w:rPr>
  </w:style>
  <w:style w:type="paragraph" w:styleId="ac">
    <w:name w:val="Plain Text"/>
    <w:basedOn w:val="a"/>
    <w:link w:val="ad"/>
    <w:semiHidden/>
    <w:locked/>
    <w:rsid w:val="003832D2"/>
    <w:pPr>
      <w:widowControl w:val="0"/>
    </w:pPr>
    <w:rPr>
      <w:rFonts w:ascii="Courier New" w:hAnsi="Courier New"/>
      <w:sz w:val="20"/>
      <w:szCs w:val="20"/>
    </w:rPr>
  </w:style>
  <w:style w:type="character" w:customStyle="1" w:styleId="ad">
    <w:name w:val="Текст Знак"/>
    <w:link w:val="ac"/>
    <w:semiHidden/>
    <w:locked/>
    <w:rsid w:val="003832D2"/>
    <w:rPr>
      <w:rFonts w:ascii="Courier New" w:hAnsi="Courier New" w:cs="Courier New"/>
      <w:lang w:val="ru-RU" w:eastAsia="ru-RU"/>
    </w:rPr>
  </w:style>
  <w:style w:type="paragraph" w:customStyle="1" w:styleId="13">
    <w:name w:val="заголовок 1"/>
    <w:basedOn w:val="a"/>
    <w:next w:val="a"/>
    <w:rsid w:val="009E3AE4"/>
    <w:pPr>
      <w:keepNext/>
      <w:widowControl w:val="0"/>
      <w:jc w:val="center"/>
    </w:pPr>
    <w:rPr>
      <w:b/>
      <w:bCs/>
      <w:sz w:val="28"/>
      <w:szCs w:val="28"/>
    </w:rPr>
  </w:style>
  <w:style w:type="paragraph" w:styleId="ae">
    <w:name w:val="Normal (Web)"/>
    <w:aliases w:val="Обычный (веб)1,Обычный (веб) Знак,Обычный (веб) Знак1,Обычный (веб) Знак Знак,Обычный (Web)1 Знак,Обычный (Web),Обычный (Web)1,Обычный (веб)11,Обычный (веб) Знак Знак Знак,Обычный (веб) Знак Знак Знак Знак Знак"/>
    <w:basedOn w:val="a"/>
    <w:link w:val="26"/>
    <w:locked/>
    <w:rsid w:val="005F63E2"/>
    <w:pPr>
      <w:spacing w:before="100" w:beforeAutospacing="1" w:after="100" w:afterAutospacing="1"/>
    </w:pPr>
    <w:rPr>
      <w:rFonts w:ascii="Calibri" w:hAnsi="Calibri" w:cs="Calibri"/>
    </w:rPr>
  </w:style>
  <w:style w:type="character" w:customStyle="1" w:styleId="apple-converted-space">
    <w:name w:val="apple-converted-space"/>
    <w:basedOn w:val="a0"/>
    <w:rsid w:val="005F63E2"/>
  </w:style>
  <w:style w:type="character" w:styleId="af">
    <w:name w:val="Emphasis"/>
    <w:qFormat/>
    <w:rsid w:val="005F63E2"/>
    <w:rPr>
      <w:i/>
      <w:iCs/>
    </w:rPr>
  </w:style>
  <w:style w:type="character" w:customStyle="1" w:styleId="af0">
    <w:name w:val="Гипертекстовая ссылка"/>
    <w:rsid w:val="005F63E2"/>
    <w:rPr>
      <w:b/>
      <w:bCs/>
      <w:color w:val="008000"/>
    </w:rPr>
  </w:style>
  <w:style w:type="paragraph" w:customStyle="1" w:styleId="ConsPlusTitle">
    <w:name w:val="ConsPlusTitle"/>
    <w:rsid w:val="00AE571C"/>
    <w:pPr>
      <w:widowControl w:val="0"/>
      <w:autoSpaceDE w:val="0"/>
      <w:autoSpaceDN w:val="0"/>
      <w:adjustRightInd w:val="0"/>
    </w:pPr>
    <w:rPr>
      <w:rFonts w:ascii="Arial" w:eastAsia="Calibri" w:hAnsi="Arial" w:cs="Arial"/>
      <w:b/>
      <w:bCs/>
    </w:rPr>
  </w:style>
  <w:style w:type="character" w:customStyle="1" w:styleId="26">
    <w:name w:val="Обычный (веб) Знак2"/>
    <w:aliases w:val="Обычный (веб)1 Знак,Обычный (веб) Знак Знак1,Обычный (веб) Знак1 Знак,Обычный (веб) Знак Знак Знак1,Обычный (Web)1 Знак Знак,Обычный (Web) Знак,Обычный (Web)1 Знак1,Обычный (веб)11 Знак,Обычный (веб) Знак Знак Знак Знак"/>
    <w:link w:val="ae"/>
    <w:locked/>
    <w:rsid w:val="007A3839"/>
    <w:rPr>
      <w:sz w:val="24"/>
      <w:szCs w:val="24"/>
      <w:lang w:val="ru-RU" w:eastAsia="ru-RU" w:bidi="ar-SA"/>
    </w:rPr>
  </w:style>
  <w:style w:type="paragraph" w:styleId="af1">
    <w:name w:val="footer"/>
    <w:basedOn w:val="a"/>
    <w:locked/>
    <w:rsid w:val="0098105D"/>
    <w:pPr>
      <w:tabs>
        <w:tab w:val="center" w:pos="4677"/>
        <w:tab w:val="right" w:pos="9355"/>
      </w:tabs>
    </w:pPr>
  </w:style>
  <w:style w:type="character" w:styleId="af2">
    <w:name w:val="page number"/>
    <w:basedOn w:val="a0"/>
    <w:locked/>
    <w:rsid w:val="0098105D"/>
  </w:style>
  <w:style w:type="character" w:styleId="af3">
    <w:name w:val="Strong"/>
    <w:qFormat/>
    <w:rsid w:val="00192513"/>
    <w:rPr>
      <w:b/>
      <w:bCs/>
    </w:rPr>
  </w:style>
  <w:style w:type="character" w:customStyle="1" w:styleId="af4">
    <w:name w:val="Название Знак"/>
    <w:locked/>
    <w:rsid w:val="003131E5"/>
    <w:rPr>
      <w:b/>
      <w:bCs/>
      <w:sz w:val="28"/>
      <w:szCs w:val="28"/>
      <w:u w:val="single"/>
      <w:lang w:val="ru-RU" w:eastAsia="ru-RU" w:bidi="ar-SA"/>
    </w:rPr>
  </w:style>
  <w:style w:type="paragraph" w:customStyle="1" w:styleId="210">
    <w:name w:val="Основной текст с отступом 21"/>
    <w:basedOn w:val="a"/>
    <w:rsid w:val="00357708"/>
    <w:pPr>
      <w:spacing w:after="120" w:line="480" w:lineRule="auto"/>
      <w:ind w:left="283"/>
    </w:pPr>
  </w:style>
  <w:style w:type="paragraph" w:styleId="af5">
    <w:name w:val="No Spacing"/>
    <w:uiPriority w:val="1"/>
    <w:qFormat/>
    <w:rsid w:val="009E54CE"/>
    <w:rPr>
      <w:rFonts w:cs="Times New Roman"/>
      <w:sz w:val="22"/>
      <w:szCs w:val="22"/>
    </w:rPr>
  </w:style>
  <w:style w:type="paragraph" w:customStyle="1" w:styleId="af6">
    <w:name w:val="Прижатый влево"/>
    <w:basedOn w:val="a"/>
    <w:next w:val="a"/>
    <w:uiPriority w:val="99"/>
    <w:rsid w:val="009E54CE"/>
    <w:pPr>
      <w:widowControl w:val="0"/>
      <w:autoSpaceDE w:val="0"/>
      <w:autoSpaceDN w:val="0"/>
      <w:adjustRightInd w:val="0"/>
    </w:pPr>
    <w:rPr>
      <w:rFonts w:ascii="Arial" w:hAnsi="Arial" w:cs="Arial"/>
    </w:rPr>
  </w:style>
  <w:style w:type="paragraph" w:styleId="af7">
    <w:name w:val="header"/>
    <w:basedOn w:val="a"/>
    <w:link w:val="af8"/>
    <w:uiPriority w:val="99"/>
    <w:locked/>
    <w:rsid w:val="005B744E"/>
    <w:pPr>
      <w:tabs>
        <w:tab w:val="center" w:pos="4677"/>
        <w:tab w:val="right" w:pos="9355"/>
      </w:tabs>
    </w:pPr>
    <w:rPr>
      <w:lang w:val="x-none" w:eastAsia="x-none"/>
    </w:rPr>
  </w:style>
  <w:style w:type="character" w:customStyle="1" w:styleId="af8">
    <w:name w:val="Верхний колонтитул Знак"/>
    <w:link w:val="af7"/>
    <w:uiPriority w:val="99"/>
    <w:rsid w:val="005B744E"/>
    <w:rPr>
      <w:rFonts w:ascii="Times New Roman" w:hAnsi="Times New Roman" w:cs="Times New Roman"/>
      <w:sz w:val="24"/>
      <w:szCs w:val="24"/>
    </w:rPr>
  </w:style>
  <w:style w:type="paragraph" w:styleId="af9">
    <w:name w:val="Body Text"/>
    <w:basedOn w:val="a"/>
    <w:link w:val="afa"/>
    <w:locked/>
    <w:rsid w:val="0018436B"/>
    <w:pPr>
      <w:spacing w:after="120"/>
    </w:pPr>
  </w:style>
  <w:style w:type="character" w:customStyle="1" w:styleId="afa">
    <w:name w:val="Основной текст Знак"/>
    <w:link w:val="af9"/>
    <w:rsid w:val="001843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5445">
      <w:bodyDiv w:val="1"/>
      <w:marLeft w:val="0"/>
      <w:marRight w:val="0"/>
      <w:marTop w:val="0"/>
      <w:marBottom w:val="0"/>
      <w:divBdr>
        <w:top w:val="none" w:sz="0" w:space="0" w:color="auto"/>
        <w:left w:val="none" w:sz="0" w:space="0" w:color="auto"/>
        <w:bottom w:val="none" w:sz="0" w:space="0" w:color="auto"/>
        <w:right w:val="none" w:sz="0" w:space="0" w:color="auto"/>
      </w:divBdr>
    </w:div>
    <w:div w:id="855770421">
      <w:bodyDiv w:val="1"/>
      <w:marLeft w:val="0"/>
      <w:marRight w:val="0"/>
      <w:marTop w:val="0"/>
      <w:marBottom w:val="0"/>
      <w:divBdr>
        <w:top w:val="none" w:sz="0" w:space="0" w:color="auto"/>
        <w:left w:val="none" w:sz="0" w:space="0" w:color="auto"/>
        <w:bottom w:val="none" w:sz="0" w:space="0" w:color="auto"/>
        <w:right w:val="none" w:sz="0" w:space="0" w:color="auto"/>
      </w:divBdr>
    </w:div>
    <w:div w:id="934627670">
      <w:bodyDiv w:val="1"/>
      <w:marLeft w:val="0"/>
      <w:marRight w:val="0"/>
      <w:marTop w:val="0"/>
      <w:marBottom w:val="0"/>
      <w:divBdr>
        <w:top w:val="none" w:sz="0" w:space="0" w:color="auto"/>
        <w:left w:val="none" w:sz="0" w:space="0" w:color="auto"/>
        <w:bottom w:val="none" w:sz="0" w:space="0" w:color="auto"/>
        <w:right w:val="none" w:sz="0" w:space="0" w:color="auto"/>
      </w:divBdr>
    </w:div>
    <w:div w:id="1060981747">
      <w:bodyDiv w:val="1"/>
      <w:marLeft w:val="0"/>
      <w:marRight w:val="0"/>
      <w:marTop w:val="0"/>
      <w:marBottom w:val="0"/>
      <w:divBdr>
        <w:top w:val="none" w:sz="0" w:space="0" w:color="auto"/>
        <w:left w:val="none" w:sz="0" w:space="0" w:color="auto"/>
        <w:bottom w:val="none" w:sz="0" w:space="0" w:color="auto"/>
        <w:right w:val="none" w:sz="0" w:space="0" w:color="auto"/>
      </w:divBdr>
    </w:div>
    <w:div w:id="1202203368">
      <w:bodyDiv w:val="1"/>
      <w:marLeft w:val="0"/>
      <w:marRight w:val="0"/>
      <w:marTop w:val="0"/>
      <w:marBottom w:val="0"/>
      <w:divBdr>
        <w:top w:val="none" w:sz="0" w:space="0" w:color="auto"/>
        <w:left w:val="none" w:sz="0" w:space="0" w:color="auto"/>
        <w:bottom w:val="none" w:sz="0" w:space="0" w:color="auto"/>
        <w:right w:val="none" w:sz="0" w:space="0" w:color="auto"/>
      </w:divBdr>
    </w:div>
    <w:div w:id="1708991807">
      <w:bodyDiv w:val="1"/>
      <w:marLeft w:val="0"/>
      <w:marRight w:val="0"/>
      <w:marTop w:val="0"/>
      <w:marBottom w:val="0"/>
      <w:divBdr>
        <w:top w:val="none" w:sz="0" w:space="0" w:color="auto"/>
        <w:left w:val="none" w:sz="0" w:space="0" w:color="auto"/>
        <w:bottom w:val="none" w:sz="0" w:space="0" w:color="auto"/>
        <w:right w:val="none" w:sz="0" w:space="0" w:color="auto"/>
      </w:divBdr>
    </w:div>
    <w:div w:id="1882670132">
      <w:bodyDiv w:val="1"/>
      <w:marLeft w:val="0"/>
      <w:marRight w:val="0"/>
      <w:marTop w:val="0"/>
      <w:marBottom w:val="0"/>
      <w:divBdr>
        <w:top w:val="none" w:sz="0" w:space="0" w:color="auto"/>
        <w:left w:val="none" w:sz="0" w:space="0" w:color="auto"/>
        <w:bottom w:val="none" w:sz="0" w:space="0" w:color="auto"/>
        <w:right w:val="none" w:sz="0" w:space="0" w:color="auto"/>
      </w:divBdr>
    </w:div>
    <w:div w:id="1933736452">
      <w:bodyDiv w:val="1"/>
      <w:marLeft w:val="0"/>
      <w:marRight w:val="0"/>
      <w:marTop w:val="0"/>
      <w:marBottom w:val="0"/>
      <w:divBdr>
        <w:top w:val="none" w:sz="0" w:space="0" w:color="auto"/>
        <w:left w:val="none" w:sz="0" w:space="0" w:color="auto"/>
        <w:bottom w:val="none" w:sz="0" w:space="0" w:color="auto"/>
        <w:right w:val="none" w:sz="0" w:space="0" w:color="auto"/>
      </w:divBdr>
    </w:div>
    <w:div w:id="20797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sz="1400"/>
            </a:pPr>
            <a:r>
              <a:rPr lang="ru-RU" sz="1400"/>
              <a:t>Динамика численности населения</a:t>
            </a:r>
          </a:p>
        </c:rich>
      </c:tx>
      <c:layout>
        <c:manualLayout>
          <c:xMode val="edge"/>
          <c:yMode val="edge"/>
          <c:x val="0.22112211221122113"/>
          <c:y val="2.0408163265306121E-2"/>
        </c:manualLayout>
      </c:layout>
      <c:overlay val="0"/>
    </c:title>
    <c:autoTitleDeleted val="0"/>
    <c:view3D>
      <c:rotX val="15"/>
      <c:hPercent val="78"/>
      <c:rotY val="20"/>
      <c:depthPercent val="100"/>
      <c:rAngAx val="1"/>
    </c:view3D>
    <c:floor>
      <c:thickness val="0"/>
    </c:floor>
    <c:sideWall>
      <c:thickness val="0"/>
    </c:sideWall>
    <c:backWall>
      <c:thickness val="0"/>
    </c:backWall>
    <c:plotArea>
      <c:layout>
        <c:manualLayout>
          <c:layoutTarget val="inner"/>
          <c:xMode val="edge"/>
          <c:yMode val="edge"/>
          <c:x val="0.10231023102310231"/>
          <c:y val="0.1927437641723356"/>
          <c:w val="0.68151815181518149"/>
          <c:h val="0.67800453514739234"/>
        </c:manualLayout>
      </c:layout>
      <c:bar3DChart>
        <c:barDir val="col"/>
        <c:grouping val="clustered"/>
        <c:varyColors val="0"/>
        <c:ser>
          <c:idx val="0"/>
          <c:order val="0"/>
          <c:tx>
            <c:strRef>
              <c:f>Sheet1!$A$2</c:f>
              <c:strCache>
                <c:ptCount val="1"/>
                <c:pt idx="0">
                  <c:v>тыс.чел.</c:v>
                </c:pt>
              </c:strCache>
            </c:strRef>
          </c:tx>
          <c:spPr>
            <a:ln w="38100">
              <a:solidFill>
                <a:schemeClr val="accent5"/>
              </a:solidFill>
            </a:ln>
            <a:scene3d>
              <a:camera prst="orthographicFront"/>
              <a:lightRig rig="threePt" dir="t"/>
            </a:scene3d>
            <a:sp3d>
              <a:contourClr>
                <a:srgbClr val="000000"/>
              </a:contourClr>
            </a:sp3d>
          </c:spPr>
          <c:invertIfNegative val="0"/>
          <c:dLbls>
            <c:showLegendKey val="0"/>
            <c:showVal val="1"/>
            <c:showCatName val="0"/>
            <c:showSerName val="0"/>
            <c:showPercent val="0"/>
            <c:showBubbleSize val="0"/>
            <c:showLeaderLines val="0"/>
          </c:dLbls>
          <c:cat>
            <c:numRef>
              <c:f>Sheet1!$B$1:$J$1</c:f>
              <c:numCache>
                <c:formatCode>General</c:formatCode>
                <c:ptCount val="9"/>
                <c:pt idx="0">
                  <c:v>2018</c:v>
                </c:pt>
                <c:pt idx="1">
                  <c:v>2019</c:v>
                </c:pt>
                <c:pt idx="2">
                  <c:v>2020</c:v>
                </c:pt>
                <c:pt idx="3">
                  <c:v>2021</c:v>
                </c:pt>
                <c:pt idx="4">
                  <c:v>2022</c:v>
                </c:pt>
                <c:pt idx="5">
                  <c:v>2023</c:v>
                </c:pt>
              </c:numCache>
            </c:numRef>
          </c:cat>
          <c:val>
            <c:numRef>
              <c:f>Sheet1!$B$2:$J$2</c:f>
              <c:numCache>
                <c:formatCode>General</c:formatCode>
                <c:ptCount val="9"/>
                <c:pt idx="0">
                  <c:v>29.3</c:v>
                </c:pt>
                <c:pt idx="1">
                  <c:v>29.1</c:v>
                </c:pt>
                <c:pt idx="2">
                  <c:v>28.9</c:v>
                </c:pt>
                <c:pt idx="3">
                  <c:v>28.7</c:v>
                </c:pt>
                <c:pt idx="4">
                  <c:v>28.4</c:v>
                </c:pt>
                <c:pt idx="5">
                  <c:v>28.2</c:v>
                </c:pt>
              </c:numCache>
            </c:numRef>
          </c:val>
        </c:ser>
        <c:dLbls>
          <c:showLegendKey val="0"/>
          <c:showVal val="0"/>
          <c:showCatName val="0"/>
          <c:showSerName val="0"/>
          <c:showPercent val="0"/>
          <c:showBubbleSize val="0"/>
        </c:dLbls>
        <c:gapWidth val="150"/>
        <c:gapDepth val="0"/>
        <c:shape val="box"/>
        <c:axId val="169559936"/>
        <c:axId val="169561472"/>
        <c:axId val="0"/>
      </c:bar3DChart>
      <c:catAx>
        <c:axId val="169559936"/>
        <c:scaling>
          <c:orientation val="minMax"/>
        </c:scaling>
        <c:delete val="0"/>
        <c:axPos val="b"/>
        <c:numFmt formatCode="General" sourceLinked="1"/>
        <c:majorTickMark val="out"/>
        <c:minorTickMark val="none"/>
        <c:tickLblPos val="low"/>
        <c:txPr>
          <a:bodyPr rot="0" vert="horz"/>
          <a:lstStyle/>
          <a:p>
            <a:pPr>
              <a:defRPr/>
            </a:pPr>
            <a:endParaRPr lang="ru-RU"/>
          </a:p>
        </c:txPr>
        <c:crossAx val="169561472"/>
        <c:crosses val="autoZero"/>
        <c:auto val="1"/>
        <c:lblAlgn val="ctr"/>
        <c:lblOffset val="100"/>
        <c:tickLblSkip val="2"/>
        <c:tickMarkSkip val="1"/>
        <c:noMultiLvlLbl val="0"/>
      </c:catAx>
      <c:valAx>
        <c:axId val="169561472"/>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69559936"/>
        <c:crosses val="autoZero"/>
        <c:crossBetween val="between"/>
      </c:valAx>
    </c:plotArea>
    <c:legend>
      <c:legendPos val="r"/>
      <c:layout>
        <c:manualLayout>
          <c:xMode val="edge"/>
          <c:yMode val="edge"/>
          <c:x val="0.80198019801980203"/>
          <c:y val="0.52834467120181405"/>
          <c:w val="0.19141914191419143"/>
          <c:h val="7.9365079365079361E-2"/>
        </c:manualLayout>
      </c:layout>
      <c:overlay val="0"/>
    </c:legend>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Динамика промышленного производства</a:t>
            </a:r>
          </a:p>
        </c:rich>
      </c:tx>
      <c:layout>
        <c:manualLayout>
          <c:xMode val="edge"/>
          <c:yMode val="edge"/>
          <c:x val="0.14574449828386835"/>
          <c:y val="2.8332053005569426E-2"/>
        </c:manualLayout>
      </c:layout>
      <c:overlay val="0"/>
    </c:title>
    <c:autoTitleDeleted val="0"/>
    <c:view3D>
      <c:rotX val="15"/>
      <c:hPercent val="58"/>
      <c:rotY val="44"/>
      <c:depthPercent val="100"/>
      <c:rAngAx val="1"/>
    </c:view3D>
    <c:floor>
      <c:thickness val="0"/>
    </c:floor>
    <c:sideWall>
      <c:thickness val="0"/>
    </c:sideWall>
    <c:backWall>
      <c:thickness val="0"/>
    </c:backWall>
    <c:plotArea>
      <c:layout>
        <c:manualLayout>
          <c:layoutTarget val="inner"/>
          <c:xMode val="edge"/>
          <c:yMode val="edge"/>
          <c:x val="5.5472263868065967E-2"/>
          <c:y val="0.17171717171717171"/>
          <c:w val="0.58470764617691151"/>
          <c:h val="0.72390572390572394"/>
        </c:manualLayout>
      </c:layout>
      <c:bar3DChart>
        <c:barDir val="col"/>
        <c:grouping val="clustered"/>
        <c:varyColors val="0"/>
        <c:ser>
          <c:idx val="0"/>
          <c:order val="0"/>
          <c:tx>
            <c:strRef>
              <c:f>Sheet1!$A$2</c:f>
              <c:strCache>
                <c:ptCount val="1"/>
                <c:pt idx="0">
                  <c:v>Объем отгруженных товаров собственного производства, выполненных работ и услуг, млн. руб.</c:v>
                </c:pt>
              </c:strCache>
            </c:strRef>
          </c:tx>
          <c:invertIfNegative val="0"/>
          <c:dLbls>
            <c:showLegendKey val="0"/>
            <c:showVal val="1"/>
            <c:showCatName val="0"/>
            <c:showSerName val="0"/>
            <c:showPercent val="0"/>
            <c:showBubbleSize val="0"/>
            <c:showLeaderLines val="0"/>
          </c:dLbls>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388.93</c:v>
                </c:pt>
                <c:pt idx="1">
                  <c:v>1745.3</c:v>
                </c:pt>
                <c:pt idx="2">
                  <c:v>1880.7</c:v>
                </c:pt>
                <c:pt idx="3">
                  <c:v>1993.3</c:v>
                </c:pt>
                <c:pt idx="4">
                  <c:v>2081.1</c:v>
                </c:pt>
                <c:pt idx="5">
                  <c:v>2188.3000000000002</c:v>
                </c:pt>
              </c:numCache>
            </c:numRef>
          </c:val>
          <c:shape val="cylinder"/>
        </c:ser>
        <c:dLbls>
          <c:showLegendKey val="0"/>
          <c:showVal val="0"/>
          <c:showCatName val="0"/>
          <c:showSerName val="0"/>
          <c:showPercent val="0"/>
          <c:showBubbleSize val="0"/>
        </c:dLbls>
        <c:gapWidth val="150"/>
        <c:gapDepth val="0"/>
        <c:shape val="box"/>
        <c:axId val="183505280"/>
        <c:axId val="183506816"/>
        <c:axId val="0"/>
      </c:bar3DChart>
      <c:catAx>
        <c:axId val="183505280"/>
        <c:scaling>
          <c:orientation val="minMax"/>
        </c:scaling>
        <c:delete val="0"/>
        <c:axPos val="b"/>
        <c:numFmt formatCode="General" sourceLinked="1"/>
        <c:majorTickMark val="out"/>
        <c:minorTickMark val="none"/>
        <c:tickLblPos val="low"/>
        <c:txPr>
          <a:bodyPr rot="0" vert="horz"/>
          <a:lstStyle/>
          <a:p>
            <a:pPr>
              <a:defRPr/>
            </a:pPr>
            <a:endParaRPr lang="ru-RU"/>
          </a:p>
        </c:txPr>
        <c:crossAx val="183506816"/>
        <c:crosses val="autoZero"/>
        <c:auto val="1"/>
        <c:lblAlgn val="ctr"/>
        <c:lblOffset val="100"/>
        <c:tickLblSkip val="1"/>
        <c:tickMarkSkip val="1"/>
        <c:noMultiLvlLbl val="0"/>
      </c:catAx>
      <c:valAx>
        <c:axId val="183506816"/>
        <c:scaling>
          <c:orientation val="minMax"/>
        </c:scaling>
        <c:delete val="1"/>
        <c:axPos val="l"/>
        <c:majorGridlines/>
        <c:numFmt formatCode="General" sourceLinked="1"/>
        <c:majorTickMark val="out"/>
        <c:minorTickMark val="none"/>
        <c:tickLblPos val="nextTo"/>
        <c:crossAx val="183505280"/>
        <c:crosses val="autoZero"/>
        <c:crossBetween val="between"/>
        <c:majorUnit val="100"/>
        <c:minorUnit val="100"/>
      </c:valAx>
    </c:plotArea>
    <c:legend>
      <c:legendPos val="r"/>
      <c:layout>
        <c:manualLayout>
          <c:xMode val="edge"/>
          <c:yMode val="edge"/>
          <c:x val="0.656671664167916"/>
          <c:y val="0.43097643097643096"/>
          <c:w val="0.33733133433283358"/>
          <c:h val="0.26262626262626265"/>
        </c:manualLayout>
      </c:layout>
      <c:overlay val="0"/>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промышленности</c:v>
                </c:pt>
              </c:strCache>
            </c:strRef>
          </c:tx>
          <c:explosion val="25"/>
          <c:dLbls>
            <c:dLblPos val="outEnd"/>
            <c:showLegendKey val="0"/>
            <c:showVal val="1"/>
            <c:showCatName val="0"/>
            <c:showSerName val="0"/>
            <c:showPercent val="0"/>
            <c:showBubbleSize val="0"/>
            <c:showLeaderLines val="1"/>
          </c:dLbls>
          <c:cat>
            <c:strRef>
              <c:f>Лист1!$A$2:$A$4</c:f>
              <c:strCache>
                <c:ptCount val="3"/>
                <c:pt idx="0">
                  <c:v>Раздел С. Обрабатывающие производства</c:v>
                </c:pt>
                <c:pt idx="1">
                  <c:v>Раздел В. Добыча полезных ископаемых</c:v>
                </c:pt>
                <c:pt idx="2">
                  <c:v>Раздел Е. Водоснабжение, водоотведение</c:v>
                </c:pt>
              </c:strCache>
            </c:strRef>
          </c:cat>
          <c:val>
            <c:numRef>
              <c:f>Лист1!$B$2:$B$4</c:f>
              <c:numCache>
                <c:formatCode>0.00%</c:formatCode>
                <c:ptCount val="3"/>
                <c:pt idx="0">
                  <c:v>0.96199999999999997</c:v>
                </c:pt>
                <c:pt idx="1">
                  <c:v>1.7999999999999999E-2</c:v>
                </c:pt>
                <c:pt idx="2" formatCode="0%">
                  <c:v>0.02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400"/>
            </a:pPr>
            <a:r>
              <a:rPr lang="ru-RU" sz="1400"/>
              <a:t>Производство продукции сельского хозяйства</a:t>
            </a:r>
          </a:p>
        </c:rich>
      </c:tx>
      <c:layout>
        <c:manualLayout>
          <c:xMode val="edge"/>
          <c:yMode val="edge"/>
          <c:x val="0.24798711755233493"/>
          <c:y val="1.9718309859154931E-2"/>
        </c:manualLayout>
      </c:layout>
      <c:overlay val="0"/>
    </c:title>
    <c:autoTitleDeleted val="0"/>
    <c:plotArea>
      <c:layout>
        <c:manualLayout>
          <c:layoutTarget val="inner"/>
          <c:xMode val="edge"/>
          <c:yMode val="edge"/>
          <c:x val="7.0853462157809979E-2"/>
          <c:y val="0.12957746478873239"/>
          <c:w val="0.59903381642512077"/>
          <c:h val="0.676056338028169"/>
        </c:manualLayout>
      </c:layout>
      <c:barChart>
        <c:barDir val="col"/>
        <c:grouping val="clustered"/>
        <c:varyColors val="0"/>
        <c:ser>
          <c:idx val="0"/>
          <c:order val="0"/>
          <c:tx>
            <c:strRef>
              <c:f>Sheet1!$A$2</c:f>
              <c:strCache>
                <c:ptCount val="1"/>
                <c:pt idx="0">
                  <c:v>Производство продукции сельского хозяйства, млн. руб.</c:v>
                </c:pt>
              </c:strCache>
            </c:strRef>
          </c:tx>
          <c:invertIfNegative val="0"/>
          <c:dLbls>
            <c:showLegendKey val="0"/>
            <c:showVal val="1"/>
            <c:showCatName val="0"/>
            <c:showSerName val="0"/>
            <c:showPercent val="0"/>
            <c:showBubbleSize val="0"/>
            <c:showLeaderLines val="0"/>
          </c:dLbls>
          <c:cat>
            <c:numRef>
              <c:f>Sheet1!$B$1:$G$1</c:f>
              <c:numCache>
                <c:formatCode>General</c:formatCode>
                <c:ptCount val="6"/>
                <c:pt idx="0">
                  <c:v>2018</c:v>
                </c:pt>
                <c:pt idx="1">
                  <c:v>2019</c:v>
                </c:pt>
                <c:pt idx="2">
                  <c:v>2020</c:v>
                </c:pt>
                <c:pt idx="3">
                  <c:v>2021</c:v>
                </c:pt>
                <c:pt idx="4">
                  <c:v>2022</c:v>
                </c:pt>
                <c:pt idx="5">
                  <c:v>2024</c:v>
                </c:pt>
              </c:numCache>
            </c:numRef>
          </c:cat>
          <c:val>
            <c:numRef>
              <c:f>Sheet1!$B$2:$G$2</c:f>
              <c:numCache>
                <c:formatCode>General</c:formatCode>
                <c:ptCount val="6"/>
                <c:pt idx="0">
                  <c:v>5594</c:v>
                </c:pt>
                <c:pt idx="1">
                  <c:v>6219</c:v>
                </c:pt>
                <c:pt idx="2">
                  <c:v>6456</c:v>
                </c:pt>
                <c:pt idx="3">
                  <c:v>6708</c:v>
                </c:pt>
                <c:pt idx="4">
                  <c:v>7057</c:v>
                </c:pt>
                <c:pt idx="5">
                  <c:v>7455</c:v>
                </c:pt>
              </c:numCache>
            </c:numRef>
          </c:val>
        </c:ser>
        <c:dLbls>
          <c:showLegendKey val="0"/>
          <c:showVal val="0"/>
          <c:showCatName val="0"/>
          <c:showSerName val="0"/>
          <c:showPercent val="0"/>
          <c:showBubbleSize val="0"/>
        </c:dLbls>
        <c:gapWidth val="120"/>
        <c:axId val="183546624"/>
        <c:axId val="183548160"/>
      </c:barChart>
      <c:catAx>
        <c:axId val="183546624"/>
        <c:scaling>
          <c:orientation val="minMax"/>
        </c:scaling>
        <c:delete val="0"/>
        <c:axPos val="b"/>
        <c:numFmt formatCode="General" sourceLinked="1"/>
        <c:majorTickMark val="out"/>
        <c:minorTickMark val="none"/>
        <c:tickLblPos val="low"/>
        <c:txPr>
          <a:bodyPr rot="0" vert="horz"/>
          <a:lstStyle/>
          <a:p>
            <a:pPr>
              <a:defRPr/>
            </a:pPr>
            <a:endParaRPr lang="ru-RU"/>
          </a:p>
        </c:txPr>
        <c:crossAx val="183548160"/>
        <c:crosses val="autoZero"/>
        <c:auto val="1"/>
        <c:lblAlgn val="ctr"/>
        <c:lblOffset val="100"/>
        <c:tickLblSkip val="1"/>
        <c:tickMarkSkip val="1"/>
        <c:noMultiLvlLbl val="0"/>
      </c:catAx>
      <c:valAx>
        <c:axId val="18354816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83546624"/>
        <c:crosses val="autoZero"/>
        <c:crossBetween val="between"/>
      </c:valAx>
    </c:plotArea>
    <c:legend>
      <c:legendPos val="r"/>
      <c:layout>
        <c:manualLayout>
          <c:xMode val="edge"/>
          <c:yMode val="edge"/>
          <c:x val="0.69404186795491141"/>
          <c:y val="0.45352112676056339"/>
          <c:w val="0.30595808857226181"/>
          <c:h val="0.1101948009923417"/>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Структура</a:t>
            </a:r>
            <a:r>
              <a:rPr lang="ru-RU" sz="1400" baseline="0"/>
              <a:t> сельскохозяйственной продукции </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c:v>
                </c:pt>
              </c:strCache>
            </c:strRef>
          </c:tx>
          <c:explosion val="25"/>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Продукция животноводства</c:v>
                </c:pt>
                <c:pt idx="1">
                  <c:v>Продукция растениеводства</c:v>
                </c:pt>
              </c:strCache>
            </c:strRef>
          </c:cat>
          <c:val>
            <c:numRef>
              <c:f>Лист1!$B$2:$B$3</c:f>
              <c:numCache>
                <c:formatCode>General</c:formatCode>
                <c:ptCount val="2"/>
                <c:pt idx="0">
                  <c:v>77.7</c:v>
                </c:pt>
                <c:pt idx="1">
                  <c:v>22.3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sz="1400"/>
            </a:pPr>
            <a:r>
              <a:rPr lang="ru-RU" sz="1400"/>
              <a:t>Отраслевая структура малых предприятий, %</a:t>
            </a:r>
          </a:p>
        </c:rich>
      </c:tx>
      <c:layout>
        <c:manualLayout>
          <c:xMode val="edge"/>
          <c:yMode val="edge"/>
          <c:x val="9.3152424738853948E-2"/>
          <c:y val="0"/>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15675192446581762"/>
          <c:y val="0.10890201224846895"/>
          <c:w val="0.65627955239360103"/>
          <c:h val="0.82783959971370669"/>
        </c:manualLayout>
      </c:layout>
      <c:pie3DChart>
        <c:varyColors val="1"/>
        <c:ser>
          <c:idx val="0"/>
          <c:order val="0"/>
          <c:tx>
            <c:strRef>
              <c:f>Лист1!$B$1</c:f>
              <c:strCache>
                <c:ptCount val="1"/>
                <c:pt idx="0">
                  <c:v>Отраслевая структура малых предприятий, %</c:v>
                </c:pt>
              </c:strCache>
            </c:strRef>
          </c:tx>
          <c:explosion val="25"/>
          <c:dPt>
            <c:idx val="0"/>
            <c:bubble3D val="0"/>
            <c:extLst xmlns:c16r2="http://schemas.microsoft.com/office/drawing/2015/06/chart">
              <c:ext xmlns:c16="http://schemas.microsoft.com/office/drawing/2014/chart" uri="{C3380CC4-5D6E-409C-BE32-E72D297353CC}">
                <c16:uniqueId val="{00000001-AB19-4056-BA0C-AD5E9B5B2677}"/>
              </c:ext>
            </c:extLst>
          </c:dPt>
          <c:dPt>
            <c:idx val="1"/>
            <c:bubble3D val="0"/>
            <c:extLst xmlns:c16r2="http://schemas.microsoft.com/office/drawing/2015/06/chart">
              <c:ext xmlns:c16="http://schemas.microsoft.com/office/drawing/2014/chart" uri="{C3380CC4-5D6E-409C-BE32-E72D297353CC}">
                <c16:uniqueId val="{00000003-AB19-4056-BA0C-AD5E9B5B2677}"/>
              </c:ext>
            </c:extLst>
          </c:dPt>
          <c:dPt>
            <c:idx val="2"/>
            <c:bubble3D val="0"/>
            <c:extLst xmlns:c16r2="http://schemas.microsoft.com/office/drawing/2015/06/chart">
              <c:ext xmlns:c16="http://schemas.microsoft.com/office/drawing/2014/chart" uri="{C3380CC4-5D6E-409C-BE32-E72D297353CC}">
                <c16:uniqueId val="{00000005-AB19-4056-BA0C-AD5E9B5B2677}"/>
              </c:ext>
            </c:extLst>
          </c:dPt>
          <c:dPt>
            <c:idx val="3"/>
            <c:bubble3D val="0"/>
            <c:extLst xmlns:c16r2="http://schemas.microsoft.com/office/drawing/2015/06/chart">
              <c:ext xmlns:c16="http://schemas.microsoft.com/office/drawing/2014/chart" uri="{C3380CC4-5D6E-409C-BE32-E72D297353CC}">
                <c16:uniqueId val="{00000007-AB19-4056-BA0C-AD5E9B5B2677}"/>
              </c:ext>
            </c:extLst>
          </c:dPt>
          <c:dPt>
            <c:idx val="4"/>
            <c:bubble3D val="0"/>
            <c:extLst xmlns:c16r2="http://schemas.microsoft.com/office/drawing/2015/06/chart">
              <c:ext xmlns:c16="http://schemas.microsoft.com/office/drawing/2014/chart" uri="{C3380CC4-5D6E-409C-BE32-E72D297353CC}">
                <c16:uniqueId val="{00000009-AB19-4056-BA0C-AD5E9B5B2677}"/>
              </c:ext>
            </c:extLst>
          </c:dPt>
          <c:cat>
            <c:strRef>
              <c:f>Лист1!$A$2:$A$9</c:f>
              <c:strCache>
                <c:ptCount val="8"/>
                <c:pt idx="0">
                  <c:v>Промышленность</c:v>
                </c:pt>
                <c:pt idx="1">
                  <c:v>Сельское хозяйство</c:v>
                </c:pt>
                <c:pt idx="2">
                  <c:v>Торговля</c:v>
                </c:pt>
                <c:pt idx="3">
                  <c:v>Строительство </c:v>
                </c:pt>
                <c:pt idx="4">
                  <c:v>Общественное питание</c:v>
                </c:pt>
                <c:pt idx="5">
                  <c:v>Перевозки</c:v>
                </c:pt>
                <c:pt idx="6">
                  <c:v>Медицинские услуги</c:v>
                </c:pt>
                <c:pt idx="7">
                  <c:v>Прочие</c:v>
                </c:pt>
              </c:strCache>
            </c:strRef>
          </c:cat>
          <c:val>
            <c:numRef>
              <c:f>Лист1!$B$2:$B$9</c:f>
              <c:numCache>
                <c:formatCode>General</c:formatCode>
                <c:ptCount val="8"/>
                <c:pt idx="0">
                  <c:v>8.6999999999999993</c:v>
                </c:pt>
                <c:pt idx="1">
                  <c:v>12.1</c:v>
                </c:pt>
                <c:pt idx="2">
                  <c:v>30.2</c:v>
                </c:pt>
                <c:pt idx="3">
                  <c:v>12.8</c:v>
                </c:pt>
                <c:pt idx="4">
                  <c:v>3.4</c:v>
                </c:pt>
                <c:pt idx="5" formatCode="0.0">
                  <c:v>2.7</c:v>
                </c:pt>
                <c:pt idx="6" formatCode="0.0">
                  <c:v>1.3</c:v>
                </c:pt>
                <c:pt idx="7" formatCode="0.0">
                  <c:v>28.8</c:v>
                </c:pt>
              </c:numCache>
            </c:numRef>
          </c:val>
          <c:extLst xmlns:c16r2="http://schemas.microsoft.com/office/drawing/2015/06/chart">
            <c:ext xmlns:c16="http://schemas.microsoft.com/office/drawing/2014/chart" uri="{C3380CC4-5D6E-409C-BE32-E72D297353CC}">
              <c16:uniqueId val="{0000000A-AB19-4056-BA0C-AD5E9B5B2677}"/>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2BB4-C350-4BEA-A7C6-116D46C2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4064</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Администрация Починковского района</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Дмитрий</dc:creator>
  <cp:lastModifiedBy>СисАдм</cp:lastModifiedBy>
  <cp:revision>2</cp:revision>
  <cp:lastPrinted>2020-07-06T12:29:00Z</cp:lastPrinted>
  <dcterms:created xsi:type="dcterms:W3CDTF">2020-11-09T08:47:00Z</dcterms:created>
  <dcterms:modified xsi:type="dcterms:W3CDTF">2020-11-09T08:47:00Z</dcterms:modified>
</cp:coreProperties>
</file>