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121200" w:rsidRDefault="00624DAD" w:rsidP="00624DAD">
      <w:pPr>
        <w:jc w:val="center"/>
        <w:rPr>
          <w:color w:val="000080"/>
          <w:sz w:val="16"/>
          <w:szCs w:val="16"/>
        </w:rPr>
      </w:pPr>
    </w:p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624DAD" w:rsidRPr="0049311E" w:rsidTr="009723FD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9723FD" w:rsidP="003227DB">
            <w:pPr>
              <w:rPr>
                <w:sz w:val="28"/>
                <w:szCs w:val="28"/>
              </w:rPr>
            </w:pPr>
            <w:r w:rsidRPr="009723FD">
              <w:rPr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4DAD" w:rsidRPr="0049311E" w:rsidRDefault="009723FD" w:rsidP="003227DB">
            <w:pPr>
              <w:rPr>
                <w:sz w:val="28"/>
                <w:szCs w:val="28"/>
              </w:rPr>
            </w:pPr>
            <w:r w:rsidRPr="009723FD">
              <w:rPr>
                <w:sz w:val="28"/>
                <w:szCs w:val="28"/>
              </w:rPr>
              <w:t>0061-адм</w:t>
            </w:r>
            <w:bookmarkStart w:id="0" w:name="_GoBack"/>
            <w:bookmarkEnd w:id="0"/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 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92E41" w:rsidRPr="00873CB9">
        <w:rPr>
          <w:kern w:val="28"/>
          <w:sz w:val="28"/>
          <w:szCs w:val="28"/>
        </w:rPr>
        <w:t>)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055D5F" w:rsidRPr="00746D66" w:rsidRDefault="00055D5F" w:rsidP="00055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EE2F43">
        <w:rPr>
          <w:sz w:val="28"/>
          <w:szCs w:val="28"/>
        </w:rPr>
        <w:t xml:space="preserve">1) </w:t>
      </w:r>
      <w:r w:rsidR="00AF2B20" w:rsidRPr="00EE2F43">
        <w:rPr>
          <w:sz w:val="28"/>
          <w:szCs w:val="28"/>
        </w:rPr>
        <w:t xml:space="preserve">в преамбуле слова «постановлением Администрации </w:t>
      </w:r>
      <w:r w:rsidR="00EE2F43">
        <w:rPr>
          <w:sz w:val="28"/>
          <w:szCs w:val="28"/>
        </w:rPr>
        <w:t xml:space="preserve">муниципального образования «Починковский район» </w:t>
      </w:r>
      <w:r w:rsidR="00AF2B20" w:rsidRPr="00EE2F43">
        <w:rPr>
          <w:sz w:val="28"/>
          <w:szCs w:val="28"/>
        </w:rPr>
        <w:t>Смоленской области от 1</w:t>
      </w:r>
      <w:r w:rsidR="00EE2F43">
        <w:rPr>
          <w:sz w:val="28"/>
          <w:szCs w:val="28"/>
        </w:rPr>
        <w:t>3</w:t>
      </w:r>
      <w:r w:rsidR="00AF2B20" w:rsidRPr="00EE2F43">
        <w:rPr>
          <w:sz w:val="28"/>
          <w:szCs w:val="28"/>
        </w:rPr>
        <w:t xml:space="preserve">.09.2013 № </w:t>
      </w:r>
      <w:r w:rsidR="00EE2F43">
        <w:rPr>
          <w:sz w:val="28"/>
          <w:szCs w:val="28"/>
        </w:rPr>
        <w:t>94</w:t>
      </w:r>
      <w:r w:rsidR="00AF2B20" w:rsidRPr="00EE2F43">
        <w:rPr>
          <w:sz w:val="28"/>
          <w:szCs w:val="28"/>
        </w:rPr>
        <w:t xml:space="preserve"> «Об утверждении Порядка </w:t>
      </w:r>
      <w:r w:rsidR="00EE2F43">
        <w:rPr>
          <w:sz w:val="28"/>
          <w:szCs w:val="28"/>
        </w:rPr>
        <w:t xml:space="preserve">разработки и </w:t>
      </w:r>
      <w:r w:rsidR="00B45E13">
        <w:rPr>
          <w:sz w:val="28"/>
          <w:szCs w:val="28"/>
        </w:rPr>
        <w:t xml:space="preserve">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 </w:t>
      </w:r>
      <w:r w:rsidR="00B45E13"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</w:t>
      </w:r>
      <w:r w:rsidR="00AF2B20" w:rsidRPr="00EE2F43">
        <w:rPr>
          <w:sz w:val="28"/>
          <w:szCs w:val="28"/>
        </w:rPr>
        <w:t xml:space="preserve">» </w:t>
      </w:r>
      <w:r w:rsidR="00637AEC" w:rsidRPr="00615555">
        <w:rPr>
          <w:sz w:val="28"/>
          <w:szCs w:val="28"/>
        </w:rPr>
        <w:t xml:space="preserve">заменить словами «постановлением Администрации муниципального образования «Починковский район» Смоленской области от </w:t>
      </w:r>
      <w:r w:rsidR="003068D8">
        <w:rPr>
          <w:sz w:val="28"/>
          <w:szCs w:val="28"/>
        </w:rPr>
        <w:t>28</w:t>
      </w:r>
      <w:r w:rsidR="00637AEC" w:rsidRPr="00615555">
        <w:rPr>
          <w:sz w:val="28"/>
          <w:szCs w:val="28"/>
        </w:rPr>
        <w:t>.01.2022 №</w:t>
      </w:r>
      <w:r w:rsidR="003068D8">
        <w:rPr>
          <w:sz w:val="28"/>
          <w:szCs w:val="28"/>
        </w:rPr>
        <w:t>000</w:t>
      </w:r>
      <w:r w:rsidR="00637AEC" w:rsidRPr="00615555">
        <w:rPr>
          <w:sz w:val="28"/>
          <w:szCs w:val="28"/>
        </w:rPr>
        <w:t>9-адм «Об утверждении Порядка принятия</w:t>
      </w:r>
      <w:proofErr w:type="gramEnd"/>
      <w:r w:rsidR="00637AEC" w:rsidRPr="00615555">
        <w:rPr>
          <w:sz w:val="28"/>
          <w:szCs w:val="28"/>
        </w:rPr>
        <w:t xml:space="preserve">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="00637AEC" w:rsidRPr="00615555">
        <w:rPr>
          <w:color w:val="000000" w:themeColor="text1"/>
          <w:sz w:val="28"/>
          <w:szCs w:val="28"/>
        </w:rPr>
        <w:t>»;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 w:rsidR="00746D66"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Pr="00746D66">
        <w:rPr>
          <w:kern w:val="28"/>
          <w:sz w:val="28"/>
          <w:szCs w:val="28"/>
        </w:rPr>
        <w:t>Создание условий для эффективного управления муниципальными финансами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4F0" w:rsidRPr="004D6B8F" w:rsidRDefault="000534F0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873CB9" w:rsidRDefault="00746D66" w:rsidP="00746D6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1" w:name="Par684"/>
      <w:bookmarkEnd w:id="1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2A61F6" w:rsidRDefault="000534F0" w:rsidP="00FF5D54">
      <w:pPr>
        <w:ind w:left="6237" w:right="-1"/>
        <w:jc w:val="both"/>
        <w:rPr>
          <w:sz w:val="24"/>
          <w:szCs w:val="24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A54670">
        <w:rPr>
          <w:sz w:val="24"/>
          <w:szCs w:val="24"/>
        </w:rPr>
        <w:t xml:space="preserve"> 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от </w:t>
      </w:r>
      <w:r w:rsidR="00AC1C05" w:rsidRPr="002A61F6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</w:t>
      </w:r>
      <w:proofErr w:type="gramEnd"/>
      <w:r w:rsidR="00AC1C05" w:rsidRPr="002A61F6">
        <w:rPr>
          <w:sz w:val="24"/>
          <w:szCs w:val="24"/>
        </w:rPr>
        <w:t>, от 30.03.2020 № 71-адм, от 15.07.2020 № 127-адм, от 07.09.2020 № 152-адм, от 30.12.2020 №216-адм, от 27.12.2021 №169-адм, от 17.02.2022 №24</w:t>
      </w:r>
      <w:r w:rsidR="00A02100" w:rsidRPr="00873CB9">
        <w:rPr>
          <w:sz w:val="28"/>
          <w:szCs w:val="28"/>
        </w:rPr>
        <w:t>-адм</w:t>
      </w:r>
      <w:r w:rsidR="00AC1C05" w:rsidRPr="002A61F6">
        <w:rPr>
          <w:sz w:val="24"/>
          <w:szCs w:val="24"/>
        </w:rPr>
        <w:t>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3774C8" w:rsidRPr="004D6B8F" w:rsidTr="004E24EC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EC48AC" w:rsidRDefault="003774C8" w:rsidP="0025114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C48A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3774C8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8" w:rsidRPr="004D6B8F" w:rsidRDefault="003774C8" w:rsidP="00772119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управлени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772119">
              <w:rPr>
                <w:rFonts w:eastAsia="Arial Unicode MS"/>
                <w:sz w:val="24"/>
                <w:szCs w:val="24"/>
              </w:rPr>
              <w:t>, начальник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F162EE">
              <w:rPr>
                <w:sz w:val="24"/>
                <w:szCs w:val="24"/>
              </w:rPr>
              <w:t xml:space="preserve"> </w:t>
            </w:r>
            <w:r w:rsidR="002D5B1D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371F3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2022-2024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5B630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 Смоленской области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 xml:space="preserve">,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E97362">
              <w:rPr>
                <w:sz w:val="24"/>
                <w:szCs w:val="24"/>
              </w:rPr>
              <w:t xml:space="preserve"> </w:t>
            </w:r>
            <w:r w:rsidR="006D42D6">
              <w:rPr>
                <w:sz w:val="24"/>
                <w:szCs w:val="24"/>
              </w:rPr>
              <w:t>454 729,2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тыс.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6D42D6">
              <w:rPr>
                <w:sz w:val="24"/>
                <w:szCs w:val="24"/>
              </w:rPr>
              <w:t>329 140,2</w:t>
            </w:r>
            <w:r w:rsidR="004922B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6D42D6">
              <w:rPr>
                <w:sz w:val="24"/>
                <w:szCs w:val="24"/>
              </w:rPr>
              <w:t>42 043,4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3 043,4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41 911,9</w:t>
            </w:r>
            <w:r w:rsidR="00A16637" w:rsidRPr="004D6B8F">
              <w:rPr>
                <w:sz w:val="24"/>
                <w:szCs w:val="24"/>
              </w:rPr>
              <w:t xml:space="preserve"> 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2 911,2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59498D" w:rsidRPr="004D6B8F">
              <w:rPr>
                <w:sz w:val="24"/>
                <w:szCs w:val="24"/>
              </w:rPr>
              <w:t>тыс. рублей.</w:t>
            </w: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gramEnd"/>
            <w:r w:rsidRPr="004D6B8F">
              <w:rPr>
                <w:sz w:val="22"/>
                <w:szCs w:val="22"/>
              </w:rPr>
              <w:t>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(2021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C1577C" w:rsidRDefault="00EB45E0" w:rsidP="00A679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202" w:type="dxa"/>
          </w:tcPr>
          <w:p w:rsidR="00076C03" w:rsidRPr="00C1577C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2"/>
        <w:gridCol w:w="3514"/>
        <w:gridCol w:w="3116"/>
        <w:gridCol w:w="3249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3512"/>
        <w:gridCol w:w="3116"/>
        <w:gridCol w:w="3249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>поселений Починковского района</w:t>
            </w:r>
            <w:r w:rsidR="0010093B" w:rsidRPr="004D6B8F">
              <w:rPr>
                <w:sz w:val="22"/>
                <w:szCs w:val="22"/>
              </w:rPr>
              <w:t xml:space="preserve"> 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>ого образования 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</w:t>
            </w:r>
            <w:r w:rsidR="00662B26">
              <w:rPr>
                <w:sz w:val="22"/>
                <w:szCs w:val="22"/>
              </w:rPr>
              <w:lastRenderedPageBreak/>
              <w:t xml:space="preserve">образованиям </w:t>
            </w:r>
            <w:r w:rsidR="006741F8">
              <w:rPr>
                <w:sz w:val="22"/>
                <w:szCs w:val="22"/>
              </w:rPr>
              <w:t>Починковского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Починковского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поселений Починковского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510"/>
        <w:gridCol w:w="1795"/>
        <w:gridCol w:w="1493"/>
        <w:gridCol w:w="1625"/>
        <w:gridCol w:w="184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371F3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</w:t>
            </w:r>
            <w:proofErr w:type="spellStart"/>
            <w:r w:rsidRPr="004D6B8F">
              <w:rPr>
                <w:sz w:val="24"/>
                <w:szCs w:val="24"/>
              </w:rPr>
              <w:t>программе</w:t>
            </w:r>
            <w:proofErr w:type="gramStart"/>
            <w:r w:rsidRPr="004D6B8F">
              <w:rPr>
                <w:rFonts w:eastAsia="Times New Roman"/>
                <w:spacing w:val="-2"/>
                <w:sz w:val="24"/>
                <w:szCs w:val="24"/>
              </w:rPr>
              <w:t>,в</w:t>
            </w:r>
            <w:proofErr w:type="spellEnd"/>
            <w:proofErr w:type="gramEnd"/>
            <w:r w:rsidRPr="004D6B8F">
              <w:rPr>
                <w:rFonts w:eastAsia="Times New Roman"/>
                <w:spacing w:val="-2"/>
                <w:sz w:val="24"/>
                <w:szCs w:val="24"/>
              </w:rPr>
              <w:t xml:space="preserve"> том числе:</w:t>
            </w:r>
          </w:p>
        </w:tc>
        <w:tc>
          <w:tcPr>
            <w:tcW w:w="874" w:type="pct"/>
          </w:tcPr>
          <w:p w:rsidR="000534F0" w:rsidRPr="004D6B8F" w:rsidRDefault="00D011E3" w:rsidP="00D437D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</w:t>
            </w:r>
            <w:r w:rsidR="00D437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89,0</w:t>
            </w:r>
          </w:p>
        </w:tc>
        <w:tc>
          <w:tcPr>
            <w:tcW w:w="727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42 043,4</w:t>
            </w:r>
          </w:p>
        </w:tc>
        <w:tc>
          <w:tcPr>
            <w:tcW w:w="791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899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D011E3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8 589,0</w:t>
            </w:r>
          </w:p>
        </w:tc>
        <w:tc>
          <w:tcPr>
            <w:tcW w:w="727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3 043,4</w:t>
            </w:r>
          </w:p>
        </w:tc>
        <w:tc>
          <w:tcPr>
            <w:tcW w:w="791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2 911,9</w:t>
            </w:r>
          </w:p>
        </w:tc>
        <w:tc>
          <w:tcPr>
            <w:tcW w:w="899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2 633,7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95"/>
        <w:gridCol w:w="6489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58"/>
        <w:gridCol w:w="6486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0E18EE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областного </w:t>
      </w:r>
      <w:hyperlink r:id="rId12" w:history="1">
        <w:r w:rsidRPr="004D6B8F">
          <w:rPr>
            <w:bCs/>
            <w:sz w:val="28"/>
            <w:szCs w:val="28"/>
          </w:rPr>
          <w:t>закона</w:t>
        </w:r>
      </w:hyperlink>
      <w:r w:rsidR="00461474" w:rsidRPr="004D6B8F">
        <w:rPr>
          <w:bCs/>
          <w:sz w:val="28"/>
          <w:szCs w:val="28"/>
        </w:rPr>
        <w:t xml:space="preserve"> «</w:t>
      </w:r>
      <w:r w:rsidRPr="004D6B8F">
        <w:rPr>
          <w:bCs/>
          <w:sz w:val="28"/>
          <w:szCs w:val="28"/>
        </w:rPr>
        <w:t>О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межбюджетных отношениях в Смоленской области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>.</w:t>
      </w:r>
      <w:proofErr w:type="gramEnd"/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FA7E76">
        <w:rPr>
          <w:bCs/>
          <w:sz w:val="28"/>
          <w:szCs w:val="28"/>
        </w:rPr>
        <w:t xml:space="preserve">Починковского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, обеспечение выравнивания их финансовых возможностей по исполнению полномочий по вопросам местного значения, качественное 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lastRenderedPageBreak/>
        <w:t>Подход к формированию и распределению финансовой помощи из бюджета</w:t>
      </w:r>
      <w:r w:rsidR="00EF1565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4D6B8F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r w:rsidR="00EF1565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установленный </w:t>
      </w:r>
      <w:r w:rsidR="00C01090">
        <w:rPr>
          <w:bCs/>
          <w:sz w:val="28"/>
          <w:szCs w:val="28"/>
        </w:rPr>
        <w:t>решением Совета депутатов</w:t>
      </w:r>
      <w:r w:rsidR="00A90F1F">
        <w:rPr>
          <w:bCs/>
          <w:sz w:val="28"/>
          <w:szCs w:val="28"/>
        </w:rPr>
        <w:t xml:space="preserve"> муниципального образования «Починковский район» Смоленской области от 27.11.2019 г. № 354</w:t>
      </w:r>
      <w:r w:rsidRPr="004D6B8F">
        <w:rPr>
          <w:bCs/>
          <w:sz w:val="28"/>
          <w:szCs w:val="28"/>
        </w:rPr>
        <w:t>,</w:t>
      </w:r>
      <w:r w:rsidR="00A90F1F">
        <w:rPr>
          <w:bCs/>
          <w:sz w:val="28"/>
          <w:szCs w:val="28"/>
        </w:rPr>
        <w:t xml:space="preserve"> решением Совета депутатов муниципального образования «Починковский район» Смоленской области от 27.11.2019 г. № 355, </w:t>
      </w:r>
      <w:r w:rsidRPr="004D6B8F">
        <w:rPr>
          <w:bCs/>
          <w:sz w:val="28"/>
          <w:szCs w:val="28"/>
        </w:rPr>
        <w:t xml:space="preserve"> зарекомендовавший себя положительно при формировании межбюджетных отношений </w:t>
      </w:r>
      <w:r w:rsidR="00C01090">
        <w:rPr>
          <w:bCs/>
          <w:sz w:val="28"/>
          <w:szCs w:val="28"/>
        </w:rPr>
        <w:t>с</w:t>
      </w:r>
      <w:proofErr w:type="gramEnd"/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</w:t>
      </w:r>
      <w:proofErr w:type="gramStart"/>
      <w:r w:rsidRPr="004D6B8F">
        <w:rPr>
          <w:bCs/>
          <w:sz w:val="28"/>
          <w:szCs w:val="28"/>
        </w:rPr>
        <w:t>направлен</w:t>
      </w:r>
      <w:proofErr w:type="gramEnd"/>
      <w:r w:rsidRPr="004D6B8F">
        <w:rPr>
          <w:bCs/>
          <w:sz w:val="28"/>
          <w:szCs w:val="28"/>
        </w:rPr>
        <w:t xml:space="preserve"> на открытость и прозрачность бюджетного процесса. Решение тактической задачи по выравниванию бюджетной обеспеченности муниципальных образований </w:t>
      </w:r>
      <w:r w:rsidR="000B6068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834161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r w:rsidR="00470EA2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470EA2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В целях </w:t>
      </w:r>
      <w:proofErr w:type="gramStart"/>
      <w:r w:rsidRPr="004D6B8F">
        <w:rPr>
          <w:bCs/>
          <w:sz w:val="28"/>
          <w:szCs w:val="28"/>
        </w:rPr>
        <w:t>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</w:t>
      </w:r>
      <w:proofErr w:type="gramEnd"/>
      <w:r w:rsidR="00E81CC4" w:rsidRPr="004D6B8F">
        <w:rPr>
          <w:bCs/>
          <w:sz w:val="28"/>
          <w:szCs w:val="28"/>
        </w:rPr>
        <w:t xml:space="preserve">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293B16">
        <w:rPr>
          <w:bCs/>
          <w:sz w:val="28"/>
          <w:szCs w:val="28"/>
        </w:rPr>
        <w:t>Починковского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>поселений Починковского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Неравномерность распределения налоговой базы по муниципальным образованиям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r w:rsidR="00361A8F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</w:t>
      </w:r>
      <w:r w:rsidRPr="004D6B8F">
        <w:rPr>
          <w:bCs/>
          <w:sz w:val="28"/>
          <w:szCs w:val="28"/>
        </w:rPr>
        <w:lastRenderedPageBreak/>
        <w:t xml:space="preserve">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r w:rsidR="002D255C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в виде выравнивающих трансфертов составил в 2019 году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 xml:space="preserve">рублей, в 2020 году </w:t>
      </w:r>
      <w:r w:rsidR="002D255C">
        <w:rPr>
          <w:bCs/>
          <w:sz w:val="28"/>
          <w:szCs w:val="28"/>
        </w:rPr>
        <w:t>–46 074,7тыс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 xml:space="preserve">, в 2021 году 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Pr="004D6B8F">
        <w:rPr>
          <w:bCs/>
          <w:sz w:val="28"/>
          <w:szCs w:val="28"/>
        </w:rPr>
        <w:t>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>
        <w:rPr>
          <w:bCs/>
          <w:sz w:val="28"/>
          <w:szCs w:val="28"/>
        </w:rPr>
        <w:t xml:space="preserve">Починковского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 Смоленской области.</w:t>
      </w:r>
      <w:proofErr w:type="gramEnd"/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Починковского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Починковского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 xml:space="preserve">чинковского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Починковского</w:t>
      </w:r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программы</w:t>
      </w:r>
      <w:r w:rsidR="00D8565F">
        <w:rPr>
          <w:bCs/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>являются: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630"/>
        <w:gridCol w:w="2147"/>
        <w:gridCol w:w="1298"/>
        <w:gridCol w:w="1603"/>
        <w:gridCol w:w="1535"/>
        <w:gridCol w:w="1753"/>
        <w:gridCol w:w="1618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766874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2021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675606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67"/>
        <w:gridCol w:w="2320"/>
        <w:gridCol w:w="1292"/>
        <w:gridCol w:w="1541"/>
        <w:gridCol w:w="1693"/>
        <w:gridCol w:w="1617"/>
        <w:gridCol w:w="1554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766874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7271C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Доля расходов бюджетов поселений Починковского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AE0F31" w:rsidRDefault="00EB45E0" w:rsidP="003954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00" w:type="pct"/>
          </w:tcPr>
          <w:p w:rsidR="00AE0F31" w:rsidRPr="00AE0F31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о финансировании </w:t>
      </w:r>
      <w:proofErr w:type="gramStart"/>
      <w:r w:rsidRPr="004D6B8F">
        <w:rPr>
          <w:b/>
          <w:sz w:val="28"/>
          <w:szCs w:val="28"/>
        </w:rPr>
        <w:t>структурных</w:t>
      </w:r>
      <w:proofErr w:type="gramEnd"/>
      <w:r w:rsidRPr="004D6B8F">
        <w:rPr>
          <w:b/>
          <w:sz w:val="28"/>
          <w:szCs w:val="28"/>
        </w:rPr>
        <w:t xml:space="preserve"> </w:t>
      </w:r>
      <w:proofErr w:type="spellStart"/>
      <w:r w:rsidRPr="004D6B8F">
        <w:rPr>
          <w:b/>
          <w:sz w:val="28"/>
          <w:szCs w:val="28"/>
        </w:rPr>
        <w:t>элементов</w:t>
      </w:r>
      <w:r w:rsidR="00D764DF">
        <w:rPr>
          <w:b/>
          <w:sz w:val="28"/>
          <w:szCs w:val="28"/>
        </w:rPr>
        <w:t>муниципальной</w:t>
      </w:r>
      <w:proofErr w:type="spellEnd"/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301"/>
        <w:gridCol w:w="1095"/>
        <w:gridCol w:w="1121"/>
        <w:gridCol w:w="1121"/>
        <w:gridCol w:w="1121"/>
      </w:tblGrid>
      <w:tr w:rsidR="007B2A8A" w:rsidTr="004946BA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№ </w:t>
            </w:r>
            <w:proofErr w:type="gramStart"/>
            <w:r w:rsidRPr="007B2A8A">
              <w:rPr>
                <w:sz w:val="22"/>
                <w:szCs w:val="22"/>
              </w:rPr>
              <w:t>п</w:t>
            </w:r>
            <w:proofErr w:type="gramEnd"/>
            <w:r w:rsidRPr="007B2A8A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30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08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4946BA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2 633,7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D79" w:rsidRPr="007B2A8A" w:rsidRDefault="004C7D79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, бюджет муниципального образования </w:t>
            </w:r>
            <w:r>
              <w:rPr>
                <w:spacing w:val="-2"/>
                <w:sz w:val="22"/>
                <w:szCs w:val="22"/>
              </w:rPr>
              <w:lastRenderedPageBreak/>
              <w:t>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0B1E21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83 589,0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27 633,7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B42BE3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E3" w:rsidRPr="007B2A8A" w:rsidRDefault="00B42BE3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125 589,0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41 633,7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D9649B">
      <w:headerReference w:type="default" r:id="rId14"/>
      <w:footerReference w:type="first" r:id="rId15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2C" w:rsidRDefault="0028562C">
      <w:r>
        <w:separator/>
      </w:r>
    </w:p>
  </w:endnote>
  <w:endnote w:type="continuationSeparator" w:id="0">
    <w:p w:rsidR="0028562C" w:rsidRDefault="002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56" w:rsidRPr="006D1356" w:rsidRDefault="006D1356">
    <w:pPr>
      <w:pStyle w:val="a6"/>
      <w:rPr>
        <w:sz w:val="16"/>
      </w:rPr>
    </w:pPr>
    <w:r>
      <w:rPr>
        <w:sz w:val="16"/>
      </w:rPr>
      <w:t>Рег. № 0061-адм от 28.04.2022, Подписано ЭП: Голуб Александр Владимирович,  27.04.2022 17:05:03,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2C" w:rsidRDefault="0028562C">
      <w:r>
        <w:separator/>
      </w:r>
    </w:p>
  </w:footnote>
  <w:footnote w:type="continuationSeparator" w:id="0">
    <w:p w:rsidR="0028562C" w:rsidRDefault="0028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3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7975"/>
    <w:rsid w:val="001A6EA0"/>
    <w:rsid w:val="001A74D4"/>
    <w:rsid w:val="001B384D"/>
    <w:rsid w:val="001D2E95"/>
    <w:rsid w:val="001D323D"/>
    <w:rsid w:val="001E3E48"/>
    <w:rsid w:val="001F10D6"/>
    <w:rsid w:val="001F4D48"/>
    <w:rsid w:val="002118DE"/>
    <w:rsid w:val="0022136B"/>
    <w:rsid w:val="0022751C"/>
    <w:rsid w:val="002373CC"/>
    <w:rsid w:val="00242B18"/>
    <w:rsid w:val="00283E6B"/>
    <w:rsid w:val="0028562C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379F"/>
    <w:rsid w:val="00402042"/>
    <w:rsid w:val="00403224"/>
    <w:rsid w:val="00411AFA"/>
    <w:rsid w:val="00416949"/>
    <w:rsid w:val="004224B8"/>
    <w:rsid w:val="00426273"/>
    <w:rsid w:val="00435533"/>
    <w:rsid w:val="00446E66"/>
    <w:rsid w:val="00450096"/>
    <w:rsid w:val="004559CD"/>
    <w:rsid w:val="00461474"/>
    <w:rsid w:val="00470EA2"/>
    <w:rsid w:val="00485F44"/>
    <w:rsid w:val="004922B5"/>
    <w:rsid w:val="00492E41"/>
    <w:rsid w:val="004946BA"/>
    <w:rsid w:val="00495F61"/>
    <w:rsid w:val="004B1E29"/>
    <w:rsid w:val="004B2AE4"/>
    <w:rsid w:val="004C64AF"/>
    <w:rsid w:val="004C6E12"/>
    <w:rsid w:val="004C7D79"/>
    <w:rsid w:val="004D188B"/>
    <w:rsid w:val="004D6B8F"/>
    <w:rsid w:val="004E1C0E"/>
    <w:rsid w:val="004E621D"/>
    <w:rsid w:val="005023F3"/>
    <w:rsid w:val="005050C1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9498D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1356"/>
    <w:rsid w:val="006D42D6"/>
    <w:rsid w:val="006E181B"/>
    <w:rsid w:val="007035E0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F10DE"/>
    <w:rsid w:val="008F65B2"/>
    <w:rsid w:val="00910182"/>
    <w:rsid w:val="00915FDB"/>
    <w:rsid w:val="00920C40"/>
    <w:rsid w:val="0092552D"/>
    <w:rsid w:val="00925DF6"/>
    <w:rsid w:val="009371C6"/>
    <w:rsid w:val="00951AC6"/>
    <w:rsid w:val="00963E07"/>
    <w:rsid w:val="00965C75"/>
    <w:rsid w:val="00971C00"/>
    <w:rsid w:val="009723FD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A02100"/>
    <w:rsid w:val="00A057EB"/>
    <w:rsid w:val="00A16598"/>
    <w:rsid w:val="00A16637"/>
    <w:rsid w:val="00A2077D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A246C"/>
    <w:rsid w:val="00BF10E8"/>
    <w:rsid w:val="00BF4F49"/>
    <w:rsid w:val="00BF7B13"/>
    <w:rsid w:val="00C01090"/>
    <w:rsid w:val="00C02D8E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2E7B-4AC0-40B5-A138-7AA2507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2022-04-20T07:14:00Z</cp:lastPrinted>
  <dcterms:created xsi:type="dcterms:W3CDTF">2022-05-05T12:35:00Z</dcterms:created>
  <dcterms:modified xsi:type="dcterms:W3CDTF">2022-05-05T12:35:00Z</dcterms:modified>
</cp:coreProperties>
</file>