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 w:rsidR="0048324C">
        <w:rPr>
          <w:rFonts w:eastAsia="Calibri"/>
          <w:b/>
          <w:sz w:val="36"/>
          <w:szCs w:val="36"/>
          <w:lang w:eastAsia="en-US"/>
        </w:rPr>
        <w:t>Отдела бухгалтерского учета и закупок</w:t>
      </w:r>
      <w:bookmarkStart w:id="0" w:name="_GoBack"/>
      <w:bookmarkEnd w:id="0"/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B11172">
        <w:rPr>
          <w:rFonts w:eastAsia="Calibri"/>
          <w:b/>
          <w:sz w:val="36"/>
          <w:szCs w:val="36"/>
          <w:lang w:eastAsia="en-US"/>
        </w:rPr>
        <w:t>апрель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540221">
        <w:rPr>
          <w:rFonts w:eastAsia="Calibri"/>
          <w:b/>
          <w:sz w:val="36"/>
          <w:szCs w:val="36"/>
          <w:lang w:eastAsia="en-US"/>
        </w:rPr>
        <w:t>4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0D65AE" w:rsidRDefault="00540221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0221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приложением сканированных копий первичных учетных документов в программном комплексе </w:t>
            </w:r>
            <w:r w:rsidRPr="00540221">
              <w:rPr>
                <w:rFonts w:eastAsia="Calibri"/>
                <w:sz w:val="24"/>
                <w:szCs w:val="24"/>
                <w:lang w:eastAsia="en-US"/>
              </w:rPr>
              <w:lastRenderedPageBreak/>
              <w:t>«Бюджет-</w:t>
            </w:r>
            <w:proofErr w:type="gramStart"/>
            <w:r w:rsidRPr="00540221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Pr="0054022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540221" w:rsidRPr="00157D1B" w:rsidRDefault="00540221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40221" w:rsidTr="00181628">
        <w:tc>
          <w:tcPr>
            <w:tcW w:w="959" w:type="dxa"/>
          </w:tcPr>
          <w:p w:rsidR="00540221" w:rsidRPr="00181628" w:rsidRDefault="00540221" w:rsidP="00A408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386" w:type="dxa"/>
          </w:tcPr>
          <w:p w:rsidR="00540221" w:rsidRDefault="00540221" w:rsidP="00A408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заявок на возврат, заявок на кассовый расход, уведомлений об уточнении вида и принадлежности платежа </w:t>
            </w:r>
            <w:r w:rsidRPr="00FF08B2">
              <w:rPr>
                <w:rFonts w:eastAsia="Calibri"/>
                <w:sz w:val="24"/>
                <w:szCs w:val="24"/>
                <w:lang w:eastAsia="en-US"/>
              </w:rPr>
              <w:t xml:space="preserve">в программном комплексе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540221" w:rsidRPr="00157D1B" w:rsidRDefault="00540221" w:rsidP="00A4084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40221" w:rsidRPr="00157D1B" w:rsidRDefault="00540221" w:rsidP="00A408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F08B2">
              <w:rPr>
                <w:rFonts w:eastAsia="Calibri"/>
                <w:sz w:val="24"/>
                <w:szCs w:val="24"/>
                <w:lang w:eastAsia="en-US"/>
              </w:rPr>
              <w:t>о мере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F08B2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957" w:type="dxa"/>
          </w:tcPr>
          <w:p w:rsidR="00540221" w:rsidRDefault="00540221" w:rsidP="00A40845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40221" w:rsidRPr="00856CDA" w:rsidRDefault="00540221" w:rsidP="00A40845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540221" w:rsidRPr="00157D1B" w:rsidRDefault="0054022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540221" w:rsidRDefault="00540221" w:rsidP="00540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поср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едством систем </w:t>
            </w:r>
            <w:r w:rsidRPr="00333609">
              <w:rPr>
                <w:rFonts w:eastAsia="Calibri"/>
                <w:sz w:val="24"/>
                <w:szCs w:val="24"/>
                <w:lang w:eastAsia="en-US"/>
              </w:rPr>
              <w:t>«Бюджет-</w:t>
            </w:r>
            <w:proofErr w:type="gramStart"/>
            <w:r w:rsidRPr="00333609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Pr="00333609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Ведение лицевых счетов работников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540221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0221">
              <w:rPr>
                <w:rFonts w:eastAsia="Calibri"/>
                <w:sz w:val="24"/>
                <w:szCs w:val="24"/>
                <w:lang w:eastAsia="en-US"/>
              </w:rPr>
              <w:t>Выгрузка из системы электронного документооборота «Контур Экстерн»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СФР посредством системы электронного документооборота «Контур Экстерн»</w:t>
            </w:r>
          </w:p>
          <w:p w:rsidR="00540221" w:rsidRPr="00157D1B" w:rsidRDefault="00540221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A633B8" w:rsidRPr="00856CDA" w:rsidRDefault="00A633B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B1117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5A44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856CDA" w:rsidRDefault="005A4428" w:rsidP="00A633B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A633B8"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5A44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856CDA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54022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0221">
              <w:rPr>
                <w:rFonts w:eastAsia="Calibri"/>
                <w:sz w:val="24"/>
                <w:szCs w:val="24"/>
                <w:lang w:eastAsia="en-US"/>
              </w:rPr>
              <w:t>Формирование бюджетных обязательств по муниципальным контрактам (договорам) в системе «Бюджет-</w:t>
            </w:r>
            <w:proofErr w:type="gramStart"/>
            <w:r w:rsidRPr="00540221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Pr="00540221">
              <w:rPr>
                <w:rFonts w:eastAsia="Calibri"/>
                <w:sz w:val="24"/>
                <w:szCs w:val="24"/>
                <w:lang w:eastAsia="en-US"/>
              </w:rPr>
              <w:t xml:space="preserve">», принятие к учету бюджетных обязательств и денежных обязательств, принимаемых обязательств по извещению о проведении электронного аукциона, </w:t>
            </w:r>
            <w:r w:rsidRPr="0054022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запроса котировок в электронной форме</w:t>
            </w:r>
          </w:p>
          <w:p w:rsidR="00540221" w:rsidRPr="006968EB" w:rsidRDefault="0054022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A633B8" w:rsidRPr="00856CDA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48324C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B11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A633B8" w:rsidRPr="00856CDA" w:rsidRDefault="00A633B8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7F4DE1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</w:t>
            </w:r>
            <w:r w:rsidR="008F68EF">
              <w:rPr>
                <w:rFonts w:eastAsia="Calibri"/>
                <w:sz w:val="24"/>
                <w:szCs w:val="24"/>
                <w:lang w:eastAsia="en-US"/>
              </w:rPr>
              <w:t>Филиал ППК «</w:t>
            </w:r>
            <w:proofErr w:type="spellStart"/>
            <w:r w:rsidR="008F68EF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540221" w:rsidRDefault="00D524CD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</w:t>
            </w:r>
            <w:r w:rsidR="005402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40221" w:rsidRPr="00D524CD">
              <w:rPr>
                <w:rFonts w:eastAsia="Calibri"/>
                <w:sz w:val="24"/>
                <w:szCs w:val="24"/>
                <w:lang w:eastAsia="en-US"/>
              </w:rPr>
              <w:t>месячной</w:t>
            </w:r>
            <w:r w:rsidR="00540221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 w:rsidR="00540221"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40221" w:rsidRPr="00D524CD">
              <w:rPr>
                <w:rFonts w:eastAsia="Calibri"/>
                <w:sz w:val="24"/>
                <w:szCs w:val="24"/>
                <w:lang w:eastAsia="en-US"/>
              </w:rPr>
              <w:t>отчетности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540221">
              <w:rPr>
                <w:rFonts w:eastAsia="Calibri"/>
                <w:sz w:val="24"/>
                <w:szCs w:val="24"/>
                <w:lang w:eastAsia="en-US"/>
              </w:rPr>
              <w:t xml:space="preserve">квартальной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 w:rsidR="0054022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540221">
              <w:rPr>
                <w:rFonts w:eastAsia="Calibri"/>
                <w:sz w:val="24"/>
                <w:szCs w:val="24"/>
                <w:lang w:eastAsia="en-US"/>
              </w:rPr>
              <w:t xml:space="preserve">персонифицированных </w:t>
            </w:r>
            <w:r w:rsidR="00540221" w:rsidRPr="00D524CD">
              <w:rPr>
                <w:rFonts w:eastAsia="Calibri"/>
                <w:sz w:val="24"/>
                <w:szCs w:val="24"/>
                <w:lang w:eastAsia="en-US"/>
              </w:rPr>
              <w:t xml:space="preserve">сведений о </w:t>
            </w:r>
            <w:r w:rsidR="00540221">
              <w:rPr>
                <w:rFonts w:eastAsia="Calibri"/>
                <w:sz w:val="24"/>
                <w:szCs w:val="24"/>
                <w:lang w:eastAsia="en-US"/>
              </w:rPr>
              <w:t xml:space="preserve">физических лицах, уведомлений об исчисленных суммах налогов, авансовых платежей по налогам, сборов, страховых взносов в </w:t>
            </w:r>
            <w:r w:rsidR="00540221" w:rsidRPr="00540221">
              <w:rPr>
                <w:rFonts w:eastAsia="Calibri"/>
                <w:sz w:val="24"/>
                <w:szCs w:val="24"/>
                <w:lang w:eastAsia="en-US"/>
              </w:rPr>
              <w:t>УФНС России по Смоленской области</w:t>
            </w:r>
            <w:r w:rsidR="005402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40221"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документооборота «Контур Экстерн»</w:t>
            </w:r>
          </w:p>
          <w:p w:rsidR="000D65AE" w:rsidRPr="00D524CD" w:rsidRDefault="006707E0" w:rsidP="0054022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6707E0" w:rsidRPr="00157D1B" w:rsidRDefault="00B83BC2" w:rsidP="006707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D524CD" w:rsidP="00540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>Смарт»</w:t>
            </w:r>
          </w:p>
          <w:p w:rsidR="00540221" w:rsidRPr="00D524CD" w:rsidRDefault="00540221" w:rsidP="0054022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Default="002F27DE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8F68EF" w:rsidRPr="00F00444" w:rsidRDefault="008F68EF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8324C" w:rsidTr="00181628">
        <w:tc>
          <w:tcPr>
            <w:tcW w:w="959" w:type="dxa"/>
          </w:tcPr>
          <w:p w:rsidR="0048324C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386" w:type="dxa"/>
          </w:tcPr>
          <w:p w:rsidR="0048324C" w:rsidRPr="0048324C" w:rsidRDefault="0048324C" w:rsidP="0048324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324C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отчета об использовании резервного фонда Администрации муниципального образования «Починковский район» Смоленской области в </w:t>
            </w:r>
            <w:proofErr w:type="spellStart"/>
            <w:r w:rsidRPr="0048324C"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 w:rsidRPr="0048324C"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48324C" w:rsidRPr="005F6526" w:rsidRDefault="0048324C" w:rsidP="0048324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324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526" w:type="dxa"/>
          </w:tcPr>
          <w:p w:rsidR="0048324C" w:rsidRDefault="0048324C" w:rsidP="00A408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48324C" w:rsidRPr="00F00444" w:rsidRDefault="0048324C" w:rsidP="00A408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48324C" w:rsidRDefault="0048324C" w:rsidP="00A408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8324C" w:rsidRPr="00157D1B" w:rsidRDefault="0048324C" w:rsidP="00A4084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8324C" w:rsidRPr="00157D1B" w:rsidRDefault="0048324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5F6526" w:rsidRDefault="005F65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3BC2" w:rsidTr="00181628">
        <w:tc>
          <w:tcPr>
            <w:tcW w:w="959" w:type="dxa"/>
          </w:tcPr>
          <w:p w:rsidR="00B83BC2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83BC2" w:rsidRDefault="00B83BC2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 xml:space="preserve">об исполнении </w:t>
            </w:r>
            <w:r w:rsidR="0035590F">
              <w:rPr>
                <w:rFonts w:eastAsia="Calibri"/>
                <w:sz w:val="24"/>
                <w:szCs w:val="24"/>
                <w:lang w:eastAsia="en-US"/>
              </w:rPr>
              <w:t>администратора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 xml:space="preserve"> доход</w:t>
            </w:r>
            <w:r w:rsidR="0035590F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 xml:space="preserve"> областного бюджета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посредством программного комплекса «Свод-Смарт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B83BC2" w:rsidRDefault="000D65AE" w:rsidP="005F652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B83BC2" w:rsidRPr="00F00444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865516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B83BC2" w:rsidRPr="00157D1B" w:rsidRDefault="00B83BC2" w:rsidP="00692D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B83BC2" w:rsidRPr="00157D1B" w:rsidRDefault="00B83BC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5F6526" w:rsidRDefault="005F6526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ется субвенция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5F6526" w:rsidRDefault="000D65AE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07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35590F" w:rsidRDefault="0035590F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28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7C21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65516">
              <w:rPr>
                <w:rFonts w:eastAsia="Calibri"/>
                <w:sz w:val="24"/>
                <w:szCs w:val="24"/>
                <w:lang w:eastAsia="en-US"/>
              </w:rPr>
              <w:t>о расходах  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Департамент Смоленской области по социальному развитию на бумажном носителе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5516" w:rsidRPr="005F6526" w:rsidRDefault="00865516" w:rsidP="007C21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5 числа</w:t>
            </w:r>
          </w:p>
          <w:p w:rsidR="00865516" w:rsidRPr="00F00444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65516" w:rsidRPr="00157D1B" w:rsidRDefault="00865516" w:rsidP="007C212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Pr="00181628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865516" w:rsidRPr="00157D1B" w:rsidRDefault="00865516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D524CD" w:rsidRDefault="00865516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P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Pr="00181628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865516" w:rsidRPr="00157D1B" w:rsidRDefault="00865516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D524CD" w:rsidRDefault="00865516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865516" w:rsidRDefault="00865516" w:rsidP="0060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606E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предложений по внесению изменений в бюджетную роспись и лимиты бюджетных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35590F" w:rsidRDefault="0035590F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516" w:rsidRPr="00157D1B" w:rsidRDefault="00865516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32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865516" w:rsidRPr="00F00444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865516" w:rsidRPr="00F00444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157D1B" w:rsidRDefault="00865516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65516" w:rsidRPr="00856CDA" w:rsidRDefault="00865516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865516" w:rsidRPr="00F00444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</w:t>
            </w:r>
            <w:r w:rsidR="0035590F" w:rsidRPr="0035590F">
              <w:rPr>
                <w:rFonts w:eastAsia="Calibri"/>
                <w:sz w:val="24"/>
                <w:szCs w:val="24"/>
                <w:lang w:eastAsia="en-US"/>
              </w:rPr>
              <w:t>УФНС России по Смоленской области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, УФК по Смоленской области, органами исполнительной власти Смоленской области, иными организациями в системе электронного 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865516" w:rsidRPr="00F00444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Default="003559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36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865516" w:rsidRPr="004D536E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865516" w:rsidRPr="005A4428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A633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865516" w:rsidRPr="004D536E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3559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865516" w:rsidRPr="004D536E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5590F" w:rsidRPr="00157D1B" w:rsidRDefault="0035590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865516" w:rsidRPr="00741663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865516" w:rsidRPr="00741663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proofErr w:type="spellEnd"/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865516" w:rsidRPr="00741663" w:rsidRDefault="00865516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865516" w:rsidRDefault="0048324C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5516" w:rsidRDefault="00865516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157D1B" w:rsidRDefault="00865516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865516" w:rsidRDefault="00865516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44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865516" w:rsidRPr="004D536E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5590F" w:rsidRPr="0035590F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865516" w:rsidRPr="00E71121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5590F" w:rsidRDefault="00865516" w:rsidP="00355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5590F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865516" w:rsidRPr="00E71121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35590F" w:rsidRDefault="00865516" w:rsidP="00355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5590F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865516" w:rsidRPr="00E71121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5590F" w:rsidRDefault="00865516" w:rsidP="00355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5590F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48324C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65516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865516" w:rsidRPr="00E71121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5590F" w:rsidRDefault="00865516" w:rsidP="00355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5590F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8655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8324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5590F" w:rsidRDefault="00A633B8" w:rsidP="00355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5590F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F68EF" w:rsidRPr="00845017" w:rsidRDefault="008F68EF" w:rsidP="00845017"/>
    <w:p w:rsidR="00845017" w:rsidRDefault="00845017" w:rsidP="00845017"/>
    <w:p w:rsidR="0048324C" w:rsidRPr="0048324C" w:rsidRDefault="0048324C" w:rsidP="0048324C">
      <w:pPr>
        <w:rPr>
          <w:rFonts w:eastAsia="Calibri"/>
          <w:sz w:val="24"/>
          <w:szCs w:val="24"/>
          <w:lang w:eastAsia="en-US"/>
        </w:rPr>
      </w:pPr>
      <w:r w:rsidRPr="0048324C">
        <w:rPr>
          <w:rFonts w:eastAsia="Calibri"/>
          <w:sz w:val="24"/>
          <w:szCs w:val="24"/>
          <w:lang w:eastAsia="en-US"/>
        </w:rPr>
        <w:t>Начальник Отдела - главный бухгалтер</w:t>
      </w:r>
    </w:p>
    <w:p w:rsidR="0048324C" w:rsidRPr="0048324C" w:rsidRDefault="0048324C" w:rsidP="0048324C">
      <w:pPr>
        <w:rPr>
          <w:rFonts w:eastAsia="Calibri"/>
          <w:sz w:val="24"/>
          <w:szCs w:val="24"/>
          <w:lang w:eastAsia="en-US"/>
        </w:rPr>
      </w:pPr>
      <w:r w:rsidRPr="0048324C">
        <w:rPr>
          <w:rFonts w:eastAsia="Calibri"/>
          <w:sz w:val="24"/>
          <w:szCs w:val="24"/>
          <w:lang w:eastAsia="en-US"/>
        </w:rPr>
        <w:t>Отдела бухгалтерского учета и закупок</w:t>
      </w:r>
    </w:p>
    <w:p w:rsidR="0048324C" w:rsidRPr="0048324C" w:rsidRDefault="0048324C" w:rsidP="0048324C">
      <w:pPr>
        <w:rPr>
          <w:rFonts w:eastAsia="Calibri"/>
          <w:sz w:val="24"/>
          <w:szCs w:val="24"/>
          <w:lang w:eastAsia="en-US"/>
        </w:rPr>
      </w:pPr>
      <w:r w:rsidRPr="0048324C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48324C" w:rsidP="0048324C">
      <w:pPr>
        <w:tabs>
          <w:tab w:val="left" w:pos="10245"/>
        </w:tabs>
      </w:pPr>
      <w:r w:rsidRPr="0048324C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 w:rsidR="00845017"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 w:rsidR="00845017"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FB" w:rsidRDefault="00C324FB" w:rsidP="00181628">
      <w:r>
        <w:separator/>
      </w:r>
    </w:p>
  </w:endnote>
  <w:endnote w:type="continuationSeparator" w:id="0">
    <w:p w:rsidR="00C324FB" w:rsidRDefault="00C324FB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FB" w:rsidRDefault="00C324FB" w:rsidP="00181628">
      <w:r>
        <w:separator/>
      </w:r>
    </w:p>
  </w:footnote>
  <w:footnote w:type="continuationSeparator" w:id="0">
    <w:p w:rsidR="00C324FB" w:rsidRDefault="00C324FB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47D88"/>
    <w:rsid w:val="00151D2C"/>
    <w:rsid w:val="0016647F"/>
    <w:rsid w:val="00181628"/>
    <w:rsid w:val="002D6148"/>
    <w:rsid w:val="002F27DE"/>
    <w:rsid w:val="00303CD1"/>
    <w:rsid w:val="0035590F"/>
    <w:rsid w:val="00363B5E"/>
    <w:rsid w:val="00367286"/>
    <w:rsid w:val="00426202"/>
    <w:rsid w:val="004524C6"/>
    <w:rsid w:val="0048324C"/>
    <w:rsid w:val="004D536E"/>
    <w:rsid w:val="00540221"/>
    <w:rsid w:val="00542AF3"/>
    <w:rsid w:val="005A4428"/>
    <w:rsid w:val="005F06B4"/>
    <w:rsid w:val="005F6526"/>
    <w:rsid w:val="006027AB"/>
    <w:rsid w:val="006707E0"/>
    <w:rsid w:val="006B3D78"/>
    <w:rsid w:val="00741663"/>
    <w:rsid w:val="00777B66"/>
    <w:rsid w:val="00784710"/>
    <w:rsid w:val="007F4DE1"/>
    <w:rsid w:val="00845017"/>
    <w:rsid w:val="00865516"/>
    <w:rsid w:val="008C360A"/>
    <w:rsid w:val="008D1ECD"/>
    <w:rsid w:val="008F68EF"/>
    <w:rsid w:val="00932885"/>
    <w:rsid w:val="0095411C"/>
    <w:rsid w:val="00A633B8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BD4F92"/>
    <w:rsid w:val="00C324FB"/>
    <w:rsid w:val="00CA4D23"/>
    <w:rsid w:val="00CB75F5"/>
    <w:rsid w:val="00D45B8A"/>
    <w:rsid w:val="00D524CD"/>
    <w:rsid w:val="00E14026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2</cp:revision>
  <dcterms:created xsi:type="dcterms:W3CDTF">2024-03-02T07:39:00Z</dcterms:created>
  <dcterms:modified xsi:type="dcterms:W3CDTF">2024-03-02T07:39:00Z</dcterms:modified>
</cp:coreProperties>
</file>