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325" w:rsidRPr="00471325" w:rsidRDefault="00471325" w:rsidP="00471325">
      <w:pPr>
        <w:spacing w:after="0" w:line="240" w:lineRule="auto"/>
        <w:jc w:val="center"/>
        <w:rPr>
          <w:rFonts w:ascii="Times New Roman" w:hAnsi="Times New Roman" w:cs="Times New Roman"/>
          <w:b/>
          <w:sz w:val="28"/>
          <w:szCs w:val="28"/>
        </w:rPr>
      </w:pPr>
      <w:bookmarkStart w:id="0" w:name="_GoBack"/>
      <w:bookmarkEnd w:id="0"/>
      <w:r w:rsidRPr="00471325">
        <w:rPr>
          <w:rFonts w:ascii="Times New Roman" w:hAnsi="Times New Roman" w:cs="Times New Roman"/>
          <w:b/>
          <w:sz w:val="28"/>
          <w:szCs w:val="28"/>
        </w:rPr>
        <w:t>Ужесточение ответственности работодателей за нарушение законодательства об оплате труда с 3 октября 2016 года</w:t>
      </w:r>
    </w:p>
    <w:p w:rsidR="00471325" w:rsidRPr="00EC7D1E" w:rsidRDefault="00471325" w:rsidP="00471325">
      <w:pPr>
        <w:spacing w:after="0" w:line="240" w:lineRule="auto"/>
        <w:jc w:val="center"/>
        <w:rPr>
          <w:rFonts w:ascii="Times New Roman" w:hAnsi="Times New Roman" w:cs="Times New Roman"/>
        </w:rPr>
      </w:pPr>
    </w:p>
    <w:p w:rsidR="00471325" w:rsidRPr="00EC7D1E" w:rsidRDefault="00471325" w:rsidP="00471325">
      <w:pPr>
        <w:spacing w:after="0" w:line="240" w:lineRule="auto"/>
        <w:ind w:firstLine="567"/>
        <w:jc w:val="both"/>
        <w:rPr>
          <w:rFonts w:ascii="Times New Roman" w:hAnsi="Times New Roman" w:cs="Times New Roman"/>
          <w:sz w:val="24"/>
          <w:szCs w:val="24"/>
        </w:rPr>
      </w:pPr>
      <w:r w:rsidRPr="00EC7D1E">
        <w:rPr>
          <w:rFonts w:ascii="Times New Roman" w:hAnsi="Times New Roman" w:cs="Times New Roman"/>
          <w:sz w:val="24"/>
          <w:szCs w:val="24"/>
        </w:rPr>
        <w:t>3 октября 2016 г. вступил в силу Федеральный закон от 03.07.2016 № 272-ФЗ «О внесении изменений в отдельные законодательные акты Российской Федерации по вопросам повышения ответственности работодателей за нарушение законодательства в части, касающейся оплаты труда», который направлен на повышение защищенности работников от недобросовестных работодателей.</w:t>
      </w:r>
    </w:p>
    <w:p w:rsidR="00471325" w:rsidRPr="00EC7D1E" w:rsidRDefault="00471325" w:rsidP="00471325">
      <w:pPr>
        <w:spacing w:after="0" w:line="240" w:lineRule="auto"/>
        <w:ind w:firstLine="567"/>
        <w:jc w:val="both"/>
        <w:rPr>
          <w:rFonts w:ascii="Times New Roman" w:hAnsi="Times New Roman" w:cs="Times New Roman"/>
          <w:sz w:val="24"/>
          <w:szCs w:val="24"/>
        </w:rPr>
      </w:pPr>
      <w:r w:rsidRPr="00EC7D1E">
        <w:rPr>
          <w:rFonts w:ascii="Times New Roman" w:hAnsi="Times New Roman" w:cs="Times New Roman"/>
          <w:sz w:val="24"/>
          <w:szCs w:val="24"/>
        </w:rPr>
        <w:t xml:space="preserve">Данный Федеральный закон внес изменения в Кодекс Российской Федерации об административных правонарушениях, а именно за нарушения трудового законодательства увеличен размер штрафов по сравнению с </w:t>
      </w:r>
      <w:proofErr w:type="gramStart"/>
      <w:r w:rsidRPr="00EC7D1E">
        <w:rPr>
          <w:rFonts w:ascii="Times New Roman" w:hAnsi="Times New Roman" w:cs="Times New Roman"/>
          <w:sz w:val="24"/>
          <w:szCs w:val="24"/>
        </w:rPr>
        <w:t>действующими</w:t>
      </w:r>
      <w:proofErr w:type="gramEnd"/>
      <w:r w:rsidRPr="00EC7D1E">
        <w:rPr>
          <w:rFonts w:ascii="Times New Roman" w:hAnsi="Times New Roman" w:cs="Times New Roman"/>
          <w:sz w:val="24"/>
          <w:szCs w:val="24"/>
        </w:rPr>
        <w:t xml:space="preserve"> ныне.</w:t>
      </w:r>
    </w:p>
    <w:p w:rsidR="00471325" w:rsidRPr="00EC7D1E" w:rsidRDefault="00471325" w:rsidP="00EC7D1E">
      <w:pPr>
        <w:spacing w:line="240" w:lineRule="auto"/>
        <w:ind w:firstLine="567"/>
        <w:rPr>
          <w:rFonts w:ascii="Times New Roman" w:hAnsi="Times New Roman" w:cs="Times New Roman"/>
          <w:sz w:val="24"/>
          <w:szCs w:val="24"/>
        </w:rPr>
      </w:pPr>
      <w:r w:rsidRPr="00EC7D1E">
        <w:rPr>
          <w:rFonts w:ascii="Times New Roman" w:hAnsi="Times New Roman" w:cs="Times New Roman"/>
          <w:sz w:val="24"/>
          <w:szCs w:val="24"/>
        </w:rPr>
        <w:t>Размеры штрафов за несвоевременную выплату заработной платы</w:t>
      </w:r>
      <w:r w:rsidR="009709B6">
        <w:rPr>
          <w:rFonts w:ascii="Times New Roman" w:hAnsi="Times New Roman" w:cs="Times New Roman"/>
          <w:sz w:val="24"/>
          <w:szCs w:val="24"/>
        </w:rPr>
        <w:t>:</w:t>
      </w:r>
    </w:p>
    <w:tbl>
      <w:tblPr>
        <w:tblW w:w="0" w:type="auto"/>
        <w:tblCellSpacing w:w="15" w:type="dxa"/>
        <w:tblInd w:w="344" w:type="dxa"/>
        <w:tblBorders>
          <w:top w:val="outset" w:sz="6" w:space="0" w:color="auto"/>
          <w:left w:val="outset" w:sz="6" w:space="0" w:color="auto"/>
          <w:bottom w:val="outset" w:sz="6" w:space="0" w:color="auto"/>
          <w:right w:val="outset" w:sz="6" w:space="0" w:color="auto"/>
        </w:tblBorders>
        <w:shd w:val="clear" w:color="auto" w:fill="E7E9EB"/>
        <w:tblCellMar>
          <w:left w:w="0" w:type="dxa"/>
          <w:right w:w="0" w:type="dxa"/>
        </w:tblCellMar>
        <w:tblLook w:val="04A0" w:firstRow="1" w:lastRow="0" w:firstColumn="1" w:lastColumn="0" w:noHBand="0" w:noVBand="1"/>
      </w:tblPr>
      <w:tblGrid>
        <w:gridCol w:w="3969"/>
        <w:gridCol w:w="3141"/>
        <w:gridCol w:w="3238"/>
      </w:tblGrid>
      <w:tr w:rsidR="00471325" w:rsidRPr="00471325" w:rsidTr="009709B6">
        <w:trPr>
          <w:trHeight w:val="336"/>
          <w:tblCellSpacing w:w="15" w:type="dxa"/>
        </w:trPr>
        <w:tc>
          <w:tcPr>
            <w:tcW w:w="3924" w:type="dxa"/>
            <w:tcBorders>
              <w:top w:val="outset" w:sz="6" w:space="0" w:color="auto"/>
              <w:left w:val="outset" w:sz="6" w:space="0" w:color="auto"/>
              <w:bottom w:val="outset" w:sz="6" w:space="0" w:color="auto"/>
              <w:right w:val="outset" w:sz="6" w:space="0" w:color="auto"/>
            </w:tcBorders>
            <w:shd w:val="clear" w:color="auto" w:fill="E7E9EB"/>
            <w:tcMar>
              <w:top w:w="15" w:type="dxa"/>
              <w:left w:w="15" w:type="dxa"/>
              <w:bottom w:w="15" w:type="dxa"/>
              <w:right w:w="15" w:type="dxa"/>
            </w:tcMar>
            <w:vAlign w:val="center"/>
            <w:hideMark/>
          </w:tcPr>
          <w:p w:rsidR="00471325" w:rsidRPr="00EC7D1E" w:rsidRDefault="00471325" w:rsidP="00EC7D1E">
            <w:pPr>
              <w:spacing w:after="0" w:line="240" w:lineRule="auto"/>
              <w:rPr>
                <w:rFonts w:ascii="Times New Roman" w:hAnsi="Times New Roman" w:cs="Times New Roman"/>
                <w:sz w:val="24"/>
                <w:szCs w:val="24"/>
              </w:rPr>
            </w:pPr>
          </w:p>
        </w:tc>
        <w:tc>
          <w:tcPr>
            <w:tcW w:w="3111" w:type="dxa"/>
            <w:tcBorders>
              <w:top w:val="outset" w:sz="6" w:space="0" w:color="auto"/>
              <w:left w:val="outset" w:sz="6" w:space="0" w:color="auto"/>
              <w:bottom w:val="outset" w:sz="6" w:space="0" w:color="auto"/>
              <w:right w:val="outset" w:sz="6" w:space="0" w:color="auto"/>
            </w:tcBorders>
            <w:shd w:val="clear" w:color="auto" w:fill="E7E9EB"/>
            <w:tcMar>
              <w:top w:w="15" w:type="dxa"/>
              <w:left w:w="15" w:type="dxa"/>
              <w:bottom w:w="15" w:type="dxa"/>
              <w:right w:w="15" w:type="dxa"/>
            </w:tcMar>
            <w:vAlign w:val="center"/>
            <w:hideMark/>
          </w:tcPr>
          <w:p w:rsidR="00471325" w:rsidRPr="00EC7D1E" w:rsidRDefault="00471325" w:rsidP="00EC7D1E">
            <w:pPr>
              <w:spacing w:after="0" w:line="240" w:lineRule="auto"/>
              <w:rPr>
                <w:rFonts w:ascii="Times New Roman" w:hAnsi="Times New Roman" w:cs="Times New Roman"/>
                <w:sz w:val="24"/>
                <w:szCs w:val="24"/>
              </w:rPr>
            </w:pPr>
            <w:r w:rsidRPr="00EC7D1E">
              <w:rPr>
                <w:rFonts w:ascii="Times New Roman" w:hAnsi="Times New Roman" w:cs="Times New Roman"/>
                <w:sz w:val="24"/>
                <w:szCs w:val="24"/>
              </w:rPr>
              <w:t>В первый раз</w:t>
            </w:r>
          </w:p>
        </w:tc>
        <w:tc>
          <w:tcPr>
            <w:tcW w:w="3193" w:type="dxa"/>
            <w:tcBorders>
              <w:top w:val="outset" w:sz="6" w:space="0" w:color="auto"/>
              <w:left w:val="outset" w:sz="6" w:space="0" w:color="auto"/>
              <w:bottom w:val="outset" w:sz="6" w:space="0" w:color="auto"/>
              <w:right w:val="outset" w:sz="6" w:space="0" w:color="auto"/>
            </w:tcBorders>
            <w:shd w:val="clear" w:color="auto" w:fill="E7E9EB"/>
            <w:tcMar>
              <w:top w:w="15" w:type="dxa"/>
              <w:left w:w="15" w:type="dxa"/>
              <w:bottom w:w="15" w:type="dxa"/>
              <w:right w:w="15" w:type="dxa"/>
            </w:tcMar>
            <w:vAlign w:val="center"/>
            <w:hideMark/>
          </w:tcPr>
          <w:p w:rsidR="00471325" w:rsidRPr="00EC7D1E" w:rsidRDefault="00471325" w:rsidP="00EC7D1E">
            <w:pPr>
              <w:spacing w:after="0" w:line="240" w:lineRule="auto"/>
              <w:rPr>
                <w:rFonts w:ascii="Times New Roman" w:hAnsi="Times New Roman" w:cs="Times New Roman"/>
                <w:sz w:val="24"/>
                <w:szCs w:val="24"/>
              </w:rPr>
            </w:pPr>
            <w:r w:rsidRPr="00EC7D1E">
              <w:rPr>
                <w:rFonts w:ascii="Times New Roman" w:hAnsi="Times New Roman" w:cs="Times New Roman"/>
                <w:sz w:val="24"/>
                <w:szCs w:val="24"/>
              </w:rPr>
              <w:t>Повторно</w:t>
            </w:r>
          </w:p>
        </w:tc>
      </w:tr>
      <w:tr w:rsidR="00471325" w:rsidRPr="00471325" w:rsidTr="009709B6">
        <w:trPr>
          <w:trHeight w:val="1003"/>
          <w:tblCellSpacing w:w="15" w:type="dxa"/>
        </w:trPr>
        <w:tc>
          <w:tcPr>
            <w:tcW w:w="3924" w:type="dxa"/>
            <w:tcBorders>
              <w:top w:val="outset" w:sz="6" w:space="0" w:color="auto"/>
              <w:left w:val="outset" w:sz="6" w:space="0" w:color="auto"/>
              <w:bottom w:val="outset" w:sz="6" w:space="0" w:color="auto"/>
              <w:right w:val="outset" w:sz="6" w:space="0" w:color="auto"/>
            </w:tcBorders>
            <w:shd w:val="clear" w:color="auto" w:fill="E7E9EB"/>
            <w:tcMar>
              <w:top w:w="15" w:type="dxa"/>
              <w:left w:w="15" w:type="dxa"/>
              <w:bottom w:w="15" w:type="dxa"/>
              <w:right w:w="15" w:type="dxa"/>
            </w:tcMar>
            <w:vAlign w:val="center"/>
            <w:hideMark/>
          </w:tcPr>
          <w:p w:rsidR="00471325" w:rsidRPr="00EC7D1E" w:rsidRDefault="00471325" w:rsidP="00EC7D1E">
            <w:pPr>
              <w:spacing w:after="0" w:line="240" w:lineRule="auto"/>
              <w:rPr>
                <w:rFonts w:ascii="Times New Roman" w:hAnsi="Times New Roman" w:cs="Times New Roman"/>
                <w:sz w:val="24"/>
                <w:szCs w:val="24"/>
              </w:rPr>
            </w:pPr>
            <w:r w:rsidRPr="00EC7D1E">
              <w:rPr>
                <w:rFonts w:ascii="Times New Roman" w:hAnsi="Times New Roman" w:cs="Times New Roman"/>
                <w:sz w:val="24"/>
                <w:szCs w:val="24"/>
              </w:rPr>
              <w:t>Должностные лица (главный бухгалтер, руководитель организации)</w:t>
            </w:r>
          </w:p>
        </w:tc>
        <w:tc>
          <w:tcPr>
            <w:tcW w:w="3111" w:type="dxa"/>
            <w:tcBorders>
              <w:top w:val="outset" w:sz="6" w:space="0" w:color="auto"/>
              <w:left w:val="outset" w:sz="6" w:space="0" w:color="auto"/>
              <w:bottom w:val="outset" w:sz="6" w:space="0" w:color="auto"/>
              <w:right w:val="outset" w:sz="6" w:space="0" w:color="auto"/>
            </w:tcBorders>
            <w:shd w:val="clear" w:color="auto" w:fill="E7E9EB"/>
            <w:tcMar>
              <w:top w:w="15" w:type="dxa"/>
              <w:left w:w="15" w:type="dxa"/>
              <w:bottom w:w="15" w:type="dxa"/>
              <w:right w:w="15" w:type="dxa"/>
            </w:tcMar>
            <w:vAlign w:val="center"/>
            <w:hideMark/>
          </w:tcPr>
          <w:p w:rsidR="00471325" w:rsidRPr="00EC7D1E" w:rsidRDefault="00EC7D1E" w:rsidP="00EC7D1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от 10 000 до 20 </w:t>
            </w:r>
            <w:r w:rsidR="00471325" w:rsidRPr="00EC7D1E">
              <w:rPr>
                <w:rFonts w:ascii="Times New Roman" w:hAnsi="Times New Roman" w:cs="Times New Roman"/>
                <w:sz w:val="24"/>
                <w:szCs w:val="24"/>
              </w:rPr>
              <w:t>000 руб.</w:t>
            </w:r>
          </w:p>
        </w:tc>
        <w:tc>
          <w:tcPr>
            <w:tcW w:w="3193" w:type="dxa"/>
            <w:tcBorders>
              <w:top w:val="outset" w:sz="6" w:space="0" w:color="auto"/>
              <w:left w:val="outset" w:sz="6" w:space="0" w:color="auto"/>
              <w:bottom w:val="outset" w:sz="6" w:space="0" w:color="auto"/>
              <w:right w:val="outset" w:sz="6" w:space="0" w:color="auto"/>
            </w:tcBorders>
            <w:shd w:val="clear" w:color="auto" w:fill="E7E9EB"/>
            <w:tcMar>
              <w:top w:w="15" w:type="dxa"/>
              <w:left w:w="15" w:type="dxa"/>
              <w:bottom w:w="15" w:type="dxa"/>
              <w:right w:w="15" w:type="dxa"/>
            </w:tcMar>
            <w:vAlign w:val="center"/>
            <w:hideMark/>
          </w:tcPr>
          <w:p w:rsidR="00471325" w:rsidRPr="00EC7D1E" w:rsidRDefault="00EC7D1E" w:rsidP="00EC7D1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от 20 000 до 30 </w:t>
            </w:r>
            <w:r w:rsidR="00471325" w:rsidRPr="00EC7D1E">
              <w:rPr>
                <w:rFonts w:ascii="Times New Roman" w:hAnsi="Times New Roman" w:cs="Times New Roman"/>
                <w:sz w:val="24"/>
                <w:szCs w:val="24"/>
              </w:rPr>
              <w:t>000 руб. или дисквалификация на срок от 1 до 3 лет</w:t>
            </w:r>
          </w:p>
        </w:tc>
      </w:tr>
      <w:tr w:rsidR="00471325" w:rsidRPr="00471325" w:rsidTr="009709B6">
        <w:trPr>
          <w:trHeight w:val="1333"/>
          <w:tblCellSpacing w:w="15" w:type="dxa"/>
        </w:trPr>
        <w:tc>
          <w:tcPr>
            <w:tcW w:w="3924" w:type="dxa"/>
            <w:tcBorders>
              <w:top w:val="outset" w:sz="6" w:space="0" w:color="auto"/>
              <w:left w:val="outset" w:sz="6" w:space="0" w:color="auto"/>
              <w:bottom w:val="outset" w:sz="6" w:space="0" w:color="auto"/>
              <w:right w:val="outset" w:sz="6" w:space="0" w:color="auto"/>
            </w:tcBorders>
            <w:shd w:val="clear" w:color="auto" w:fill="E7E9EB"/>
            <w:tcMar>
              <w:top w:w="15" w:type="dxa"/>
              <w:left w:w="15" w:type="dxa"/>
              <w:bottom w:w="15" w:type="dxa"/>
              <w:right w:w="15" w:type="dxa"/>
            </w:tcMar>
            <w:vAlign w:val="center"/>
            <w:hideMark/>
          </w:tcPr>
          <w:p w:rsidR="00471325" w:rsidRPr="00EC7D1E" w:rsidRDefault="00471325" w:rsidP="00EC7D1E">
            <w:pPr>
              <w:spacing w:after="0" w:line="240" w:lineRule="auto"/>
              <w:rPr>
                <w:rFonts w:ascii="Times New Roman" w:hAnsi="Times New Roman" w:cs="Times New Roman"/>
                <w:sz w:val="24"/>
                <w:szCs w:val="24"/>
              </w:rPr>
            </w:pPr>
            <w:r w:rsidRPr="00EC7D1E">
              <w:rPr>
                <w:rFonts w:ascii="Times New Roman" w:hAnsi="Times New Roman" w:cs="Times New Roman"/>
                <w:sz w:val="24"/>
                <w:szCs w:val="24"/>
              </w:rPr>
              <w:t>Лица, осуществляющие предпринимательскую деятельность без образования юридического лица (ИП)</w:t>
            </w:r>
          </w:p>
        </w:tc>
        <w:tc>
          <w:tcPr>
            <w:tcW w:w="3111" w:type="dxa"/>
            <w:tcBorders>
              <w:top w:val="outset" w:sz="6" w:space="0" w:color="auto"/>
              <w:left w:val="outset" w:sz="6" w:space="0" w:color="auto"/>
              <w:bottom w:val="outset" w:sz="6" w:space="0" w:color="auto"/>
              <w:right w:val="outset" w:sz="6" w:space="0" w:color="auto"/>
            </w:tcBorders>
            <w:shd w:val="clear" w:color="auto" w:fill="E7E9EB"/>
            <w:tcMar>
              <w:top w:w="15" w:type="dxa"/>
              <w:left w:w="15" w:type="dxa"/>
              <w:bottom w:w="15" w:type="dxa"/>
              <w:right w:w="15" w:type="dxa"/>
            </w:tcMar>
            <w:vAlign w:val="center"/>
            <w:hideMark/>
          </w:tcPr>
          <w:p w:rsidR="00471325" w:rsidRPr="00EC7D1E" w:rsidRDefault="00471325" w:rsidP="00EC7D1E">
            <w:pPr>
              <w:spacing w:after="0" w:line="240" w:lineRule="auto"/>
              <w:rPr>
                <w:rFonts w:ascii="Times New Roman" w:hAnsi="Times New Roman" w:cs="Times New Roman"/>
                <w:sz w:val="24"/>
                <w:szCs w:val="24"/>
              </w:rPr>
            </w:pPr>
            <w:r w:rsidRPr="00EC7D1E">
              <w:rPr>
                <w:rFonts w:ascii="Times New Roman" w:hAnsi="Times New Roman" w:cs="Times New Roman"/>
                <w:sz w:val="24"/>
                <w:szCs w:val="24"/>
              </w:rPr>
              <w:t>от 1000 до 5000 руб.</w:t>
            </w:r>
          </w:p>
        </w:tc>
        <w:tc>
          <w:tcPr>
            <w:tcW w:w="3193" w:type="dxa"/>
            <w:tcBorders>
              <w:top w:val="outset" w:sz="6" w:space="0" w:color="auto"/>
              <w:left w:val="outset" w:sz="6" w:space="0" w:color="auto"/>
              <w:bottom w:val="outset" w:sz="6" w:space="0" w:color="auto"/>
              <w:right w:val="outset" w:sz="6" w:space="0" w:color="auto"/>
            </w:tcBorders>
            <w:shd w:val="clear" w:color="auto" w:fill="E7E9EB"/>
            <w:tcMar>
              <w:top w:w="15" w:type="dxa"/>
              <w:left w:w="15" w:type="dxa"/>
              <w:bottom w:w="15" w:type="dxa"/>
              <w:right w:w="15" w:type="dxa"/>
            </w:tcMar>
            <w:vAlign w:val="center"/>
            <w:hideMark/>
          </w:tcPr>
          <w:p w:rsidR="00471325" w:rsidRPr="00EC7D1E" w:rsidRDefault="00EC7D1E" w:rsidP="00EC7D1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от 10 000 до 30 </w:t>
            </w:r>
            <w:r w:rsidR="00471325" w:rsidRPr="00EC7D1E">
              <w:rPr>
                <w:rFonts w:ascii="Times New Roman" w:hAnsi="Times New Roman" w:cs="Times New Roman"/>
                <w:sz w:val="24"/>
                <w:szCs w:val="24"/>
              </w:rPr>
              <w:t>000 руб.</w:t>
            </w:r>
          </w:p>
        </w:tc>
      </w:tr>
      <w:tr w:rsidR="00471325" w:rsidRPr="00471325" w:rsidTr="009709B6">
        <w:trPr>
          <w:trHeight w:val="617"/>
          <w:tblCellSpacing w:w="15" w:type="dxa"/>
        </w:trPr>
        <w:tc>
          <w:tcPr>
            <w:tcW w:w="3924" w:type="dxa"/>
            <w:tcBorders>
              <w:top w:val="outset" w:sz="6" w:space="0" w:color="auto"/>
              <w:left w:val="outset" w:sz="6" w:space="0" w:color="auto"/>
              <w:bottom w:val="outset" w:sz="6" w:space="0" w:color="auto"/>
              <w:right w:val="outset" w:sz="6" w:space="0" w:color="auto"/>
            </w:tcBorders>
            <w:shd w:val="clear" w:color="auto" w:fill="E7E9EB"/>
            <w:tcMar>
              <w:top w:w="15" w:type="dxa"/>
              <w:left w:w="15" w:type="dxa"/>
              <w:bottom w:w="15" w:type="dxa"/>
              <w:right w:w="15" w:type="dxa"/>
            </w:tcMar>
            <w:vAlign w:val="center"/>
            <w:hideMark/>
          </w:tcPr>
          <w:p w:rsidR="00471325" w:rsidRPr="00EC7D1E" w:rsidRDefault="00471325" w:rsidP="00EC7D1E">
            <w:pPr>
              <w:spacing w:after="0" w:line="240" w:lineRule="auto"/>
              <w:rPr>
                <w:rFonts w:ascii="Times New Roman" w:hAnsi="Times New Roman" w:cs="Times New Roman"/>
                <w:sz w:val="24"/>
                <w:szCs w:val="24"/>
              </w:rPr>
            </w:pPr>
            <w:r w:rsidRPr="00EC7D1E">
              <w:rPr>
                <w:rFonts w:ascii="Times New Roman" w:hAnsi="Times New Roman" w:cs="Times New Roman"/>
                <w:sz w:val="24"/>
                <w:szCs w:val="24"/>
              </w:rPr>
              <w:t>Юридические лица (ООО, АО и т.п.)</w:t>
            </w:r>
          </w:p>
        </w:tc>
        <w:tc>
          <w:tcPr>
            <w:tcW w:w="3111" w:type="dxa"/>
            <w:tcBorders>
              <w:top w:val="outset" w:sz="6" w:space="0" w:color="auto"/>
              <w:left w:val="outset" w:sz="6" w:space="0" w:color="auto"/>
              <w:bottom w:val="outset" w:sz="6" w:space="0" w:color="auto"/>
              <w:right w:val="outset" w:sz="6" w:space="0" w:color="auto"/>
            </w:tcBorders>
            <w:shd w:val="clear" w:color="auto" w:fill="E7E9EB"/>
            <w:tcMar>
              <w:top w:w="15" w:type="dxa"/>
              <w:left w:w="15" w:type="dxa"/>
              <w:bottom w:w="15" w:type="dxa"/>
              <w:right w:w="15" w:type="dxa"/>
            </w:tcMar>
            <w:vAlign w:val="center"/>
            <w:hideMark/>
          </w:tcPr>
          <w:p w:rsidR="00471325" w:rsidRPr="00EC7D1E" w:rsidRDefault="00471325" w:rsidP="00EC7D1E">
            <w:pPr>
              <w:spacing w:after="0" w:line="240" w:lineRule="auto"/>
              <w:rPr>
                <w:rFonts w:ascii="Times New Roman" w:hAnsi="Times New Roman" w:cs="Times New Roman"/>
                <w:sz w:val="24"/>
                <w:szCs w:val="24"/>
              </w:rPr>
            </w:pPr>
            <w:r w:rsidRPr="00EC7D1E">
              <w:rPr>
                <w:rFonts w:ascii="Times New Roman" w:hAnsi="Times New Roman" w:cs="Times New Roman"/>
                <w:sz w:val="24"/>
                <w:szCs w:val="24"/>
              </w:rPr>
              <w:t xml:space="preserve">от </w:t>
            </w:r>
            <w:r w:rsidR="00EC7D1E">
              <w:rPr>
                <w:rFonts w:ascii="Times New Roman" w:hAnsi="Times New Roman" w:cs="Times New Roman"/>
                <w:sz w:val="24"/>
                <w:szCs w:val="24"/>
              </w:rPr>
              <w:t xml:space="preserve">30 000 до 50 </w:t>
            </w:r>
            <w:r w:rsidRPr="00EC7D1E">
              <w:rPr>
                <w:rFonts w:ascii="Times New Roman" w:hAnsi="Times New Roman" w:cs="Times New Roman"/>
                <w:sz w:val="24"/>
                <w:szCs w:val="24"/>
              </w:rPr>
              <w:t>000 руб.</w:t>
            </w:r>
          </w:p>
        </w:tc>
        <w:tc>
          <w:tcPr>
            <w:tcW w:w="3193" w:type="dxa"/>
            <w:tcBorders>
              <w:top w:val="outset" w:sz="6" w:space="0" w:color="auto"/>
              <w:left w:val="outset" w:sz="6" w:space="0" w:color="auto"/>
              <w:bottom w:val="outset" w:sz="6" w:space="0" w:color="auto"/>
              <w:right w:val="outset" w:sz="6" w:space="0" w:color="auto"/>
            </w:tcBorders>
            <w:shd w:val="clear" w:color="auto" w:fill="E7E9EB"/>
            <w:tcMar>
              <w:top w:w="15" w:type="dxa"/>
              <w:left w:w="15" w:type="dxa"/>
              <w:bottom w:w="15" w:type="dxa"/>
              <w:right w:w="15" w:type="dxa"/>
            </w:tcMar>
            <w:vAlign w:val="center"/>
            <w:hideMark/>
          </w:tcPr>
          <w:p w:rsidR="00471325" w:rsidRPr="00EC7D1E" w:rsidRDefault="00EC7D1E" w:rsidP="00EC7D1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от 50 000 до 100 </w:t>
            </w:r>
            <w:r w:rsidR="00471325" w:rsidRPr="00EC7D1E">
              <w:rPr>
                <w:rFonts w:ascii="Times New Roman" w:hAnsi="Times New Roman" w:cs="Times New Roman"/>
                <w:sz w:val="24"/>
                <w:szCs w:val="24"/>
              </w:rPr>
              <w:t>000 руб.</w:t>
            </w:r>
          </w:p>
        </w:tc>
      </w:tr>
    </w:tbl>
    <w:p w:rsidR="00471325" w:rsidRPr="00EC7D1E" w:rsidRDefault="00471325" w:rsidP="00471325">
      <w:pPr>
        <w:spacing w:after="0" w:line="240" w:lineRule="auto"/>
        <w:ind w:firstLine="709"/>
        <w:jc w:val="both"/>
        <w:rPr>
          <w:rFonts w:ascii="Times New Roman" w:hAnsi="Times New Roman" w:cs="Times New Roman"/>
          <w:sz w:val="24"/>
          <w:szCs w:val="24"/>
        </w:rPr>
      </w:pPr>
      <w:r w:rsidRPr="00EC7D1E">
        <w:rPr>
          <w:rFonts w:ascii="Times New Roman" w:hAnsi="Times New Roman" w:cs="Times New Roman"/>
          <w:sz w:val="24"/>
          <w:szCs w:val="24"/>
        </w:rPr>
        <w:t>Одновременно Федеральный закон № 272-ФЗ внес поправки в Трудовой кодекс РФ и Гражданско-процессуальный кодекс РФ, направленные на предупреждение несвоевременной выплаты заработной платы.</w:t>
      </w:r>
    </w:p>
    <w:p w:rsidR="00471325" w:rsidRPr="00EC7D1E" w:rsidRDefault="00471325" w:rsidP="00471325">
      <w:pPr>
        <w:spacing w:after="0" w:line="240" w:lineRule="auto"/>
        <w:ind w:firstLine="709"/>
        <w:jc w:val="both"/>
        <w:rPr>
          <w:rFonts w:ascii="Times New Roman" w:hAnsi="Times New Roman" w:cs="Times New Roman"/>
          <w:sz w:val="24"/>
          <w:szCs w:val="24"/>
        </w:rPr>
      </w:pPr>
      <w:r w:rsidRPr="00EC7D1E">
        <w:rPr>
          <w:rFonts w:ascii="Times New Roman" w:hAnsi="Times New Roman" w:cs="Times New Roman"/>
          <w:sz w:val="24"/>
          <w:szCs w:val="24"/>
        </w:rPr>
        <w:t>Незначительно изменяется порядок выплаты заработной платы работникам. Как и прежде заработная плата должна выплачиваться работнику не реже чем каждые полмесяца, а конкретная дата выплаты должна устанавливаться правилами внутреннего трудового распорядка, коллективным договором или трудовым договором (статья 136 Трудового кодекса РФ). Однако теперь подобная дата должна быть установлена не позднее 15 календарных дней со дня окончания периода, за который она начислена.</w:t>
      </w:r>
    </w:p>
    <w:p w:rsidR="00471325" w:rsidRPr="00EC7D1E" w:rsidRDefault="00471325" w:rsidP="00EC7D1E">
      <w:pPr>
        <w:spacing w:after="0" w:line="240" w:lineRule="auto"/>
        <w:ind w:firstLine="709"/>
        <w:jc w:val="both"/>
        <w:rPr>
          <w:rFonts w:ascii="Times New Roman" w:hAnsi="Times New Roman" w:cs="Times New Roman"/>
          <w:sz w:val="24"/>
          <w:szCs w:val="24"/>
        </w:rPr>
      </w:pPr>
      <w:r w:rsidRPr="00EC7D1E">
        <w:rPr>
          <w:rFonts w:ascii="Times New Roman" w:hAnsi="Times New Roman" w:cs="Times New Roman"/>
          <w:sz w:val="24"/>
          <w:szCs w:val="24"/>
        </w:rPr>
        <w:t xml:space="preserve">В связи с невыплатой (задержкой) заработной платы повышена и материальная ответственность работодателя. В случае нарушения срока подобной невыплаты (задержки) работодатель будет обязан выплатить работнику их с уплатой процентов (денежной компенсации) в размере не ниже 1/150 действующей в это время ключевой ставки Центрального банка РФ (ранее было предусмотрено не ниже 1/300) от не выплаченных в срок </w:t>
      </w:r>
      <w:proofErr w:type="gramStart"/>
      <w:r w:rsidRPr="00EC7D1E">
        <w:rPr>
          <w:rFonts w:ascii="Times New Roman" w:hAnsi="Times New Roman" w:cs="Times New Roman"/>
          <w:sz w:val="24"/>
          <w:szCs w:val="24"/>
        </w:rPr>
        <w:t>сумм</w:t>
      </w:r>
      <w:proofErr w:type="gramEnd"/>
      <w:r w:rsidRPr="00EC7D1E">
        <w:rPr>
          <w:rFonts w:ascii="Times New Roman" w:hAnsi="Times New Roman" w:cs="Times New Roman"/>
          <w:sz w:val="24"/>
          <w:szCs w:val="24"/>
        </w:rPr>
        <w:t xml:space="preserve"> за каждый день задержки начиная со следующего дня после установленного срока выплаты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w:t>
      </w:r>
    </w:p>
    <w:p w:rsidR="00471325" w:rsidRPr="00EC7D1E" w:rsidRDefault="00471325" w:rsidP="00EC7D1E">
      <w:pPr>
        <w:spacing w:after="0" w:line="240" w:lineRule="auto"/>
        <w:ind w:firstLine="709"/>
        <w:jc w:val="both"/>
        <w:rPr>
          <w:rFonts w:ascii="Times New Roman" w:hAnsi="Times New Roman" w:cs="Times New Roman"/>
          <w:sz w:val="24"/>
          <w:szCs w:val="24"/>
        </w:rPr>
      </w:pPr>
      <w:r w:rsidRPr="00EC7D1E">
        <w:rPr>
          <w:rFonts w:ascii="Times New Roman" w:hAnsi="Times New Roman" w:cs="Times New Roman"/>
          <w:sz w:val="24"/>
          <w:szCs w:val="24"/>
        </w:rPr>
        <w:t>В связи с невыплатой или неполной выплатой заработной платы и других выплат в установленный срок работник имеет право обратиться в суд в течение 1 года со дня установленного срока выплаты указанных сумм, в том числе в случае невыплаты или неполной выплаты заработной платы и других выплат, причитающихся работнику при увольнении (статья 392 Трудового кодекса РФ). Ранее подобный срок составлял всего лишь 3 месяца.</w:t>
      </w:r>
    </w:p>
    <w:p w:rsidR="00471325" w:rsidRPr="00EC7D1E" w:rsidRDefault="00471325" w:rsidP="00EC7D1E">
      <w:pPr>
        <w:spacing w:after="0" w:line="240" w:lineRule="auto"/>
        <w:ind w:firstLine="709"/>
        <w:jc w:val="both"/>
        <w:rPr>
          <w:rFonts w:ascii="Times New Roman" w:hAnsi="Times New Roman" w:cs="Times New Roman"/>
          <w:sz w:val="24"/>
          <w:szCs w:val="24"/>
        </w:rPr>
      </w:pPr>
      <w:r w:rsidRPr="00EC7D1E">
        <w:rPr>
          <w:rFonts w:ascii="Times New Roman" w:hAnsi="Times New Roman" w:cs="Times New Roman"/>
          <w:sz w:val="24"/>
          <w:szCs w:val="24"/>
        </w:rPr>
        <w:t>Кроме того, теперь иски о восстановлении трудовых прав работник может подавать не только по месту нахождения работодателя, но и по месту своего жительства (часть 6.3 статьи 29 Гражданского процессуального кодекса РФ).</w:t>
      </w:r>
    </w:p>
    <w:p w:rsidR="00471325" w:rsidRPr="00EC7D1E" w:rsidRDefault="00471325" w:rsidP="00EC7D1E">
      <w:pPr>
        <w:spacing w:after="0" w:line="240" w:lineRule="auto"/>
        <w:ind w:firstLine="709"/>
        <w:jc w:val="both"/>
        <w:rPr>
          <w:rFonts w:ascii="Times New Roman" w:hAnsi="Times New Roman" w:cs="Times New Roman"/>
          <w:sz w:val="24"/>
          <w:szCs w:val="24"/>
        </w:rPr>
      </w:pPr>
      <w:proofErr w:type="gramStart"/>
      <w:r w:rsidRPr="00EC7D1E">
        <w:rPr>
          <w:rFonts w:ascii="Times New Roman" w:hAnsi="Times New Roman" w:cs="Times New Roman"/>
          <w:sz w:val="24"/>
          <w:szCs w:val="24"/>
        </w:rPr>
        <w:t xml:space="preserve">Также законодатель ввел дополнительное основание для проведения внеплановой проверки работодателя органами </w:t>
      </w:r>
      <w:proofErr w:type="spellStart"/>
      <w:r w:rsidRPr="00EC7D1E">
        <w:rPr>
          <w:rFonts w:ascii="Times New Roman" w:hAnsi="Times New Roman" w:cs="Times New Roman"/>
          <w:sz w:val="24"/>
          <w:szCs w:val="24"/>
        </w:rPr>
        <w:t>Роструда</w:t>
      </w:r>
      <w:proofErr w:type="spellEnd"/>
      <w:r w:rsidRPr="00EC7D1E">
        <w:rPr>
          <w:rFonts w:ascii="Times New Roman" w:hAnsi="Times New Roman" w:cs="Times New Roman"/>
          <w:sz w:val="24"/>
          <w:szCs w:val="24"/>
        </w:rPr>
        <w:t>, а именно: в случае обращения и заявления граждан о фактах нарушений работодателями требований трудового законодательства и иных нормативных правовых актов, содержащих нормы трудового права, приведших к невыплате или неполной выплате в установленный срок заработной платы, других выплат, причитающихся работникам, либо установлению заработной платы в размере менее размера, предусмотренного</w:t>
      </w:r>
      <w:proofErr w:type="gramEnd"/>
      <w:r w:rsidRPr="00EC7D1E">
        <w:rPr>
          <w:rFonts w:ascii="Times New Roman" w:hAnsi="Times New Roman" w:cs="Times New Roman"/>
          <w:sz w:val="24"/>
          <w:szCs w:val="24"/>
        </w:rPr>
        <w:t xml:space="preserve"> трудовым законодательством (часть 7 статьи 360 Трудового кодекса РФ).</w:t>
      </w:r>
    </w:p>
    <w:p w:rsidR="00DE3395" w:rsidRDefault="00DE3395"/>
    <w:sectPr w:rsidR="00DE3395" w:rsidSect="00EC7D1E">
      <w:pgSz w:w="11906" w:h="16838"/>
      <w:pgMar w:top="284" w:right="424"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325"/>
    <w:rsid w:val="00471325"/>
    <w:rsid w:val="009709B6"/>
    <w:rsid w:val="00D476A7"/>
    <w:rsid w:val="00DE3395"/>
    <w:rsid w:val="00EC7D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713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7132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713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713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859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560</Words>
  <Characters>3194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Пользователь</cp:lastModifiedBy>
  <cp:revision>2</cp:revision>
  <dcterms:created xsi:type="dcterms:W3CDTF">2018-11-01T12:50:00Z</dcterms:created>
  <dcterms:modified xsi:type="dcterms:W3CDTF">2018-11-01T12:50:00Z</dcterms:modified>
</cp:coreProperties>
</file>