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7" w:rsidRDefault="00A15D07" w:rsidP="00A15D07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           </w:t>
      </w:r>
    </w:p>
    <w:p w:rsidR="00A15D07" w:rsidRPr="00A15D07" w:rsidRDefault="00A15D07" w:rsidP="00A15D0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7393" w:rsidRPr="000D5EE7" w:rsidRDefault="00620F78" w:rsidP="00EB7FD8">
      <w:pPr>
        <w:pStyle w:val="5"/>
        <w:suppressAutoHyphens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083EC8" w:rsidRDefault="00083EC8" w:rsidP="00EB7FD8">
      <w:pPr>
        <w:pStyle w:val="5"/>
        <w:suppressAutoHyphens/>
      </w:pPr>
    </w:p>
    <w:p w:rsidR="008D5398" w:rsidRDefault="001F5EB3" w:rsidP="00EB7FD8">
      <w:pPr>
        <w:pStyle w:val="5"/>
        <w:suppressAutoHyphens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ПОЧИНКОВСКИЙРАЙОН</w:t>
      </w:r>
      <w:r w:rsidR="00990085">
        <w:t>»</w:t>
      </w:r>
      <w:r w:rsidR="00A15D07">
        <w:t xml:space="preserve"> </w:t>
      </w:r>
      <w:r w:rsidR="008D5398">
        <w:t>СМОЛЕНСКОЙОБЛАСТИ</w:t>
      </w:r>
    </w:p>
    <w:p w:rsidR="008D5398" w:rsidRDefault="008D5398" w:rsidP="00EB7FD8">
      <w:pPr>
        <w:pStyle w:val="7"/>
        <w:suppressAutoHyphens/>
        <w:rPr>
          <w:sz w:val="28"/>
        </w:rPr>
      </w:pPr>
    </w:p>
    <w:p w:rsidR="008D5398" w:rsidRDefault="009B0665" w:rsidP="00EB7FD8">
      <w:pPr>
        <w:pStyle w:val="7"/>
        <w:suppressAutoHyphens/>
        <w:rPr>
          <w:sz w:val="28"/>
        </w:rPr>
      </w:pPr>
      <w:r>
        <w:rPr>
          <w:sz w:val="28"/>
        </w:rPr>
        <w:t>ПО</w:t>
      </w:r>
      <w:r w:rsidR="00A15D07">
        <w:rPr>
          <w:sz w:val="28"/>
        </w:rPr>
        <w:t>С</w:t>
      </w:r>
      <w:r>
        <w:rPr>
          <w:sz w:val="28"/>
        </w:rPr>
        <w:t xml:space="preserve">ТАНОВЛ </w:t>
      </w:r>
      <w:r w:rsidR="00743D7B">
        <w:rPr>
          <w:sz w:val="28"/>
        </w:rPr>
        <w:t xml:space="preserve">Е Н И Е </w:t>
      </w:r>
    </w:p>
    <w:p w:rsidR="008D5398" w:rsidRDefault="008D5398" w:rsidP="00EB7FD8">
      <w:pPr>
        <w:suppressAutoHyphens/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 w:rsidP="00EB7FD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EB7FD8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 w:rsidP="00EB7FD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EB7FD8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E01509" w:rsidRDefault="00E01509" w:rsidP="00EB7FD8">
      <w:pPr>
        <w:suppressAutoHyphens/>
        <w:rPr>
          <w:sz w:val="28"/>
        </w:rPr>
      </w:pPr>
    </w:p>
    <w:p w:rsidR="00476D20" w:rsidRDefault="00476D20" w:rsidP="00EB7FD8">
      <w:pPr>
        <w:suppressAutoHyphens/>
        <w:rPr>
          <w:sz w:val="28"/>
        </w:rPr>
      </w:pPr>
    </w:p>
    <w:p w:rsidR="00D75834" w:rsidRDefault="00D75834" w:rsidP="00EB7FD8">
      <w:pPr>
        <w:suppressAutoHyphens/>
        <w:rPr>
          <w:sz w:val="28"/>
        </w:rPr>
      </w:pPr>
    </w:p>
    <w:p w:rsidR="00685DF4" w:rsidRPr="00C92C61" w:rsidRDefault="00EB7FD8" w:rsidP="00FD1E2E">
      <w:pPr>
        <w:tabs>
          <w:tab w:val="left" w:pos="4395"/>
        </w:tabs>
        <w:suppressAutoHyphens/>
        <w:ind w:right="5386"/>
        <w:jc w:val="both"/>
        <w:rPr>
          <w:b/>
          <w:sz w:val="28"/>
        </w:rPr>
      </w:pPr>
      <w:r w:rsidRPr="009D69CF">
        <w:rPr>
          <w:b/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27.10.2015 № 130</w:t>
      </w:r>
    </w:p>
    <w:p w:rsidR="00C92C61" w:rsidRDefault="00C92C61" w:rsidP="00EB7FD8">
      <w:pPr>
        <w:tabs>
          <w:tab w:val="left" w:pos="0"/>
        </w:tabs>
        <w:suppressAutoHyphens/>
        <w:ind w:firstLine="709"/>
        <w:jc w:val="both"/>
        <w:rPr>
          <w:sz w:val="28"/>
        </w:rPr>
      </w:pPr>
    </w:p>
    <w:p w:rsidR="00476D20" w:rsidRDefault="00476D20" w:rsidP="00EB7FD8">
      <w:pPr>
        <w:tabs>
          <w:tab w:val="left" w:pos="0"/>
        </w:tabs>
        <w:suppressAutoHyphens/>
        <w:ind w:firstLine="709"/>
        <w:jc w:val="both"/>
        <w:rPr>
          <w:sz w:val="28"/>
        </w:rPr>
      </w:pPr>
    </w:p>
    <w:p w:rsidR="009B47E4" w:rsidRDefault="009B47E4" w:rsidP="00EB7FD8">
      <w:pPr>
        <w:tabs>
          <w:tab w:val="left" w:pos="0"/>
        </w:tabs>
        <w:suppressAutoHyphens/>
        <w:ind w:firstLine="709"/>
        <w:jc w:val="both"/>
        <w:rPr>
          <w:sz w:val="28"/>
        </w:rPr>
      </w:pPr>
    </w:p>
    <w:p w:rsidR="00EB7FD8" w:rsidRPr="009B47E4" w:rsidRDefault="00EB7FD8" w:rsidP="009B47E4">
      <w:pPr>
        <w:pStyle w:val="ConsPlusTitle"/>
        <w:widowControl/>
        <w:ind w:right="-28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27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«Починковск</w:t>
      </w:r>
      <w:r w:rsidR="00A15D07">
        <w:rPr>
          <w:rFonts w:ascii="Times New Roman" w:hAnsi="Times New Roman" w:cs="Times New Roman"/>
          <w:b w:val="0"/>
          <w:sz w:val="28"/>
          <w:szCs w:val="28"/>
        </w:rPr>
        <w:t>ий район» Смоленской области  постановляе</w:t>
      </w:r>
      <w:r w:rsidRPr="00D0027B">
        <w:rPr>
          <w:rFonts w:ascii="Times New Roman" w:hAnsi="Times New Roman" w:cs="Times New Roman"/>
          <w:b w:val="0"/>
          <w:sz w:val="28"/>
          <w:szCs w:val="28"/>
        </w:rPr>
        <w:t>т:</w:t>
      </w:r>
      <w:r w:rsidR="00A15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Внести в постановление Администрации муниципального образования «Починковский район» Смоленской области от 27.10.2015 № 130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«Починковский район» Смоленской области (2015 – 20</w:t>
      </w:r>
      <w:r>
        <w:rPr>
          <w:sz w:val="28"/>
          <w:szCs w:val="28"/>
        </w:rPr>
        <w:t>4</w:t>
      </w:r>
      <w:r w:rsidRPr="00D0027B">
        <w:rPr>
          <w:sz w:val="28"/>
          <w:szCs w:val="28"/>
        </w:rPr>
        <w:t xml:space="preserve">0 годы)» </w:t>
      </w:r>
      <w:r>
        <w:rPr>
          <w:sz w:val="28"/>
          <w:szCs w:val="28"/>
        </w:rPr>
        <w:t>(в редакции постановлени</w:t>
      </w:r>
      <w:r w:rsidR="00972B9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19.12.2017 № 213-адм</w:t>
      </w:r>
      <w:r w:rsidR="00972B9C">
        <w:rPr>
          <w:sz w:val="28"/>
          <w:szCs w:val="28"/>
        </w:rPr>
        <w:t>, от 31.05.2018 № 0082-адм</w:t>
      </w:r>
      <w:r>
        <w:rPr>
          <w:sz w:val="28"/>
          <w:szCs w:val="28"/>
        </w:rPr>
        <w:t xml:space="preserve">) </w:t>
      </w:r>
      <w:r w:rsidRPr="00D0027B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D0027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0027B">
        <w:rPr>
          <w:sz w:val="28"/>
          <w:szCs w:val="28"/>
        </w:rPr>
        <w:t>:</w:t>
      </w:r>
    </w:p>
    <w:p w:rsidR="00EB7FD8" w:rsidRPr="00D0027B" w:rsidRDefault="00337C75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7FD8" w:rsidRPr="00D0027B">
        <w:rPr>
          <w:sz w:val="28"/>
          <w:szCs w:val="28"/>
        </w:rPr>
        <w:t>) пункт 2 изложить в следующей редакции:</w:t>
      </w:r>
    </w:p>
    <w:p w:rsidR="00EB7FD8" w:rsidRPr="00D0027B" w:rsidRDefault="00EB7FD8" w:rsidP="00EB7FD8">
      <w:pPr>
        <w:suppressAutoHyphens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«2. Отделу градостроительной деятельности, транспорта, связи и ЖКХ Администрации муниципального образования «Починковский район» Смоленской области (В. А. Маненак), Отделу по городу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С.А.Носков</w:t>
      </w:r>
      <w:r w:rsidRPr="00D0027B">
        <w:rPr>
          <w:sz w:val="28"/>
          <w:szCs w:val="28"/>
        </w:rPr>
        <w:t>), Отделу образования Администрации муниципального образования «Починковский район» Смоленской области (</w:t>
      </w:r>
      <w:r w:rsidR="00972B9C">
        <w:rPr>
          <w:sz w:val="28"/>
          <w:szCs w:val="28"/>
        </w:rPr>
        <w:t>О</w:t>
      </w:r>
      <w:r w:rsidRPr="00D0027B">
        <w:rPr>
          <w:sz w:val="28"/>
          <w:szCs w:val="28"/>
        </w:rPr>
        <w:t xml:space="preserve">. В. </w:t>
      </w:r>
      <w:r w:rsidR="00972B9C">
        <w:rPr>
          <w:sz w:val="28"/>
          <w:szCs w:val="28"/>
        </w:rPr>
        <w:t>Полякова</w:t>
      </w:r>
      <w:r w:rsidRPr="00D0027B">
        <w:rPr>
          <w:sz w:val="28"/>
          <w:szCs w:val="28"/>
        </w:rPr>
        <w:t>), Отделу культуры Администрации муниципального образования «Починковский район» Смоленской области (</w:t>
      </w:r>
      <w:r w:rsidR="00972B9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72B9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72B9C">
        <w:rPr>
          <w:sz w:val="28"/>
          <w:szCs w:val="28"/>
        </w:rPr>
        <w:t>Чемарева</w:t>
      </w:r>
      <w:r w:rsidRPr="00D0027B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по экономике и управлению муниципальным имуществом Администрации муниципального образования </w:t>
      </w:r>
      <w:r>
        <w:rPr>
          <w:sz w:val="28"/>
          <w:szCs w:val="28"/>
        </w:rPr>
        <w:lastRenderedPageBreak/>
        <w:t>«Починковский район» Смоленской области (В.В.Сидоренкова), Отделу по информационной политике Администрации муниципального образования «Починковский район» Смоленской области (А.С.Ковалев)</w:t>
      </w:r>
      <w:r w:rsidRPr="00D0027B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 исполнение плана мероприятий</w:t>
      </w:r>
      <w:r w:rsidRPr="00D0027B">
        <w:rPr>
          <w:sz w:val="28"/>
          <w:szCs w:val="28"/>
        </w:rPr>
        <w:t>»;</w:t>
      </w:r>
    </w:p>
    <w:p w:rsidR="00E543E6" w:rsidRDefault="00337C75" w:rsidP="00E543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FD8" w:rsidRPr="00D0027B">
        <w:rPr>
          <w:sz w:val="28"/>
          <w:szCs w:val="28"/>
        </w:rPr>
        <w:t>) в плане мероприятий («дорожной карте») «Об утверждении плана мероприятий («дорожной карты») «Повышение значений показателей доступности для инвалидов объектов и услуг в муниципальном образовании «Починковский район» Смоленской области (2015 – 20</w:t>
      </w:r>
      <w:r w:rsidR="00EB7FD8">
        <w:rPr>
          <w:sz w:val="28"/>
          <w:szCs w:val="28"/>
        </w:rPr>
        <w:t>4</w:t>
      </w:r>
      <w:r w:rsidR="00EB7FD8" w:rsidRPr="00D0027B">
        <w:rPr>
          <w:sz w:val="28"/>
          <w:szCs w:val="28"/>
        </w:rPr>
        <w:t>0 годы)», утвержденном указанным постановлением</w:t>
      </w:r>
      <w:r w:rsidR="00EB7FD8">
        <w:rPr>
          <w:sz w:val="28"/>
          <w:szCs w:val="28"/>
        </w:rPr>
        <w:t>,</w:t>
      </w:r>
    </w:p>
    <w:p w:rsidR="00EB7FD8" w:rsidRPr="00D0027B" w:rsidRDefault="00A15D07" w:rsidP="00E543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7FD8" w:rsidRPr="00D0027B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="00EB7FD8" w:rsidRPr="00D0027B">
        <w:rPr>
          <w:sz w:val="28"/>
          <w:szCs w:val="28"/>
        </w:rPr>
        <w:t>«Исполнителями «дорожной карты» являются</w:t>
      </w:r>
      <w:r w:rsidR="00EB7FD8">
        <w:rPr>
          <w:sz w:val="28"/>
          <w:szCs w:val="28"/>
        </w:rPr>
        <w:t>» изложить в следующей редакции</w:t>
      </w:r>
      <w:r w:rsidR="00EB7FD8" w:rsidRPr="00D0027B">
        <w:rPr>
          <w:sz w:val="28"/>
          <w:szCs w:val="28"/>
        </w:rPr>
        <w:t>: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- Отдел градостроительной деятельности, транспорта, связи и ЖКХ Администрации муниципального образования «Починковский район» Смоленской области (В. А. Маненак),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- Отдел по городу Администрации муниципального образования «Починковский район» Смоленской области (</w:t>
      </w:r>
      <w:r>
        <w:rPr>
          <w:sz w:val="28"/>
          <w:szCs w:val="28"/>
        </w:rPr>
        <w:t>С.А.Носков</w:t>
      </w:r>
      <w:r w:rsidRPr="00D0027B">
        <w:rPr>
          <w:sz w:val="28"/>
          <w:szCs w:val="28"/>
        </w:rPr>
        <w:t xml:space="preserve">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- Отдел образования Администрации муниципального образования «Починковский район» Смоленской области (</w:t>
      </w:r>
      <w:r w:rsidR="00972B9C">
        <w:rPr>
          <w:sz w:val="28"/>
          <w:szCs w:val="28"/>
        </w:rPr>
        <w:t>О</w:t>
      </w:r>
      <w:r w:rsidRPr="00D0027B">
        <w:rPr>
          <w:sz w:val="28"/>
          <w:szCs w:val="28"/>
        </w:rPr>
        <w:t xml:space="preserve">. В. </w:t>
      </w:r>
      <w:r w:rsidR="00972B9C">
        <w:rPr>
          <w:sz w:val="28"/>
          <w:szCs w:val="28"/>
        </w:rPr>
        <w:t>Полякова</w:t>
      </w:r>
      <w:r w:rsidRPr="00D0027B">
        <w:rPr>
          <w:sz w:val="28"/>
          <w:szCs w:val="28"/>
        </w:rPr>
        <w:t xml:space="preserve">), </w:t>
      </w: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- Отдел культуры Администрации муниципального образования «Починковский район» Смоленской области (</w:t>
      </w:r>
      <w:r w:rsidR="00972B9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72B9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72B9C">
        <w:rPr>
          <w:sz w:val="28"/>
          <w:szCs w:val="28"/>
        </w:rPr>
        <w:t>Чемарева</w:t>
      </w:r>
      <w:r w:rsidRPr="00D0027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B7FD8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экономике и управлению муниципальным имуществом Администрации муниципального образования «Починковский район» Смоленской области (В.В.Сидоренкова), 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информационной политике Администрации муниципального образования «Починковский район» Смоленской области (А.С.Ковалев);</w:t>
      </w:r>
    </w:p>
    <w:p w:rsidR="00EB7FD8" w:rsidRPr="00D0027B" w:rsidRDefault="00EB7FD8" w:rsidP="00EB7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«Контрольные показатели доступности для инвалидов объектов и услуг» дополнить пунктами следующего содержания:</w:t>
      </w:r>
    </w:p>
    <w:p w:rsidR="00EB7FD8" w:rsidRPr="00D0027B" w:rsidRDefault="00EB7FD8" w:rsidP="00EB7FD8">
      <w:pPr>
        <w:suppressAutoHyphens/>
        <w:rPr>
          <w:sz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567"/>
        <w:gridCol w:w="624"/>
        <w:gridCol w:w="652"/>
        <w:gridCol w:w="624"/>
        <w:gridCol w:w="538"/>
        <w:gridCol w:w="567"/>
        <w:gridCol w:w="593"/>
        <w:gridCol w:w="770"/>
        <w:gridCol w:w="26"/>
        <w:gridCol w:w="2127"/>
      </w:tblGrid>
      <w:tr w:rsidR="00EB7FD8" w:rsidRPr="00D0027B" w:rsidTr="00F563FD">
        <w:tc>
          <w:tcPr>
            <w:tcW w:w="568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</w:t>
            </w:r>
            <w:r w:rsidRPr="00D0027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4935" w:type="dxa"/>
            <w:gridSpan w:val="8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2153" w:type="dxa"/>
            <w:gridSpan w:val="2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B7FD8" w:rsidRPr="00D0027B" w:rsidTr="00EB7FD8">
        <w:tc>
          <w:tcPr>
            <w:tcW w:w="568" w:type="dxa"/>
            <w:vMerge/>
          </w:tcPr>
          <w:p w:rsidR="00EB7FD8" w:rsidRPr="00D0027B" w:rsidRDefault="00EB7FD8" w:rsidP="00EB7FD8">
            <w:pPr>
              <w:suppressAutoHyphens/>
            </w:pPr>
          </w:p>
        </w:tc>
        <w:tc>
          <w:tcPr>
            <w:tcW w:w="1985" w:type="dxa"/>
            <w:vMerge/>
          </w:tcPr>
          <w:p w:rsidR="00EB7FD8" w:rsidRPr="00D0027B" w:rsidRDefault="00EB7FD8" w:rsidP="00EB7FD8">
            <w:pPr>
              <w:suppressAutoHyphens/>
            </w:pPr>
          </w:p>
        </w:tc>
        <w:tc>
          <w:tcPr>
            <w:tcW w:w="850" w:type="dxa"/>
            <w:vMerge/>
          </w:tcPr>
          <w:p w:rsidR="00EB7FD8" w:rsidRPr="00D0027B" w:rsidRDefault="00EB7FD8" w:rsidP="00EB7FD8">
            <w:pPr>
              <w:suppressAutoHyphens/>
              <w:jc w:val="center"/>
            </w:pP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015 год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016 год</w:t>
            </w:r>
          </w:p>
        </w:tc>
        <w:tc>
          <w:tcPr>
            <w:tcW w:w="652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017 год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018 год</w:t>
            </w:r>
          </w:p>
        </w:tc>
        <w:tc>
          <w:tcPr>
            <w:tcW w:w="538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019 год</w:t>
            </w: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rPr>
                <w:rFonts w:ascii="Times New Roman" w:hAnsi="Times New Roman" w:cs="Times New Roman"/>
              </w:rPr>
            </w:pPr>
            <w:r w:rsidRPr="00D002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0027B">
              <w:rPr>
                <w:rFonts w:ascii="Times New Roman" w:hAnsi="Times New Roman" w:cs="Times New Roman"/>
              </w:rPr>
              <w:t>020 год</w:t>
            </w:r>
          </w:p>
        </w:tc>
        <w:tc>
          <w:tcPr>
            <w:tcW w:w="593" w:type="dxa"/>
          </w:tcPr>
          <w:p w:rsidR="00EB7FD8" w:rsidRPr="00D0027B" w:rsidRDefault="00EB7FD8" w:rsidP="00EB7FD8">
            <w:pPr>
              <w:suppressAutoHyphens/>
            </w:pPr>
            <w:r w:rsidRPr="00D0027B">
              <w:t>2021-2030 годы</w:t>
            </w:r>
          </w:p>
        </w:tc>
        <w:tc>
          <w:tcPr>
            <w:tcW w:w="796" w:type="dxa"/>
            <w:gridSpan w:val="2"/>
          </w:tcPr>
          <w:p w:rsidR="00EB7FD8" w:rsidRPr="00D0027B" w:rsidRDefault="00EB7FD8" w:rsidP="00EB7FD8">
            <w:pPr>
              <w:suppressAutoHyphens/>
            </w:pPr>
            <w:r w:rsidRPr="00D0027B">
              <w:t>2031-2040 годы</w:t>
            </w:r>
          </w:p>
        </w:tc>
        <w:tc>
          <w:tcPr>
            <w:tcW w:w="2127" w:type="dxa"/>
          </w:tcPr>
          <w:p w:rsidR="00EB7FD8" w:rsidRPr="00D0027B" w:rsidRDefault="00EB7FD8" w:rsidP="00EB7FD8">
            <w:pPr>
              <w:suppressAutoHyphens/>
              <w:jc w:val="center"/>
            </w:pPr>
          </w:p>
        </w:tc>
      </w:tr>
    </w:tbl>
    <w:p w:rsidR="00EB7FD8" w:rsidRPr="00D0027B" w:rsidRDefault="00EB7FD8" w:rsidP="00EB7FD8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850"/>
        <w:gridCol w:w="567"/>
        <w:gridCol w:w="667"/>
        <w:gridCol w:w="624"/>
        <w:gridCol w:w="624"/>
        <w:gridCol w:w="624"/>
        <w:gridCol w:w="481"/>
        <w:gridCol w:w="593"/>
        <w:gridCol w:w="781"/>
        <w:gridCol w:w="2127"/>
      </w:tblGrid>
      <w:tr w:rsidR="00EB7FD8" w:rsidRPr="00D0027B" w:rsidTr="00EB7FD8">
        <w:tc>
          <w:tcPr>
            <w:tcW w:w="568" w:type="dxa"/>
          </w:tcPr>
          <w:p w:rsidR="00EB7FD8" w:rsidRPr="00D0027B" w:rsidRDefault="00EB7FD8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B7FD8" w:rsidRPr="00D0027B" w:rsidRDefault="00972B9C" w:rsidP="00972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Pr="00F31F60">
              <w:rPr>
                <w:rFonts w:ascii="Times New Roman" w:hAnsi="Times New Roman" w:cs="Times New Roman"/>
              </w:rPr>
              <w:t xml:space="preserve">доступа к информации о деятельности органов </w:t>
            </w:r>
            <w:r>
              <w:rPr>
                <w:rFonts w:ascii="Times New Roman" w:hAnsi="Times New Roman" w:cs="Times New Roman"/>
              </w:rPr>
              <w:t>м</w:t>
            </w:r>
            <w:r w:rsidRPr="00F31F60">
              <w:rPr>
                <w:rFonts w:ascii="Times New Roman" w:hAnsi="Times New Roman" w:cs="Times New Roman"/>
              </w:rPr>
              <w:t xml:space="preserve">естного самоуправления муниципальных </w:t>
            </w:r>
            <w:r w:rsidRPr="00F31F60">
              <w:rPr>
                <w:rFonts w:ascii="Times New Roman" w:hAnsi="Times New Roman" w:cs="Times New Roman"/>
              </w:rPr>
              <w:lastRenderedPageBreak/>
              <w:t xml:space="preserve">образований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«Починковский район» </w:t>
            </w:r>
            <w:r w:rsidRPr="00F31F60">
              <w:rPr>
                <w:rFonts w:ascii="Times New Roman" w:hAnsi="Times New Roman" w:cs="Times New Roman"/>
              </w:rPr>
              <w:t>Смоленской области с помощью Интернет-сайтов</w:t>
            </w:r>
          </w:p>
        </w:tc>
        <w:tc>
          <w:tcPr>
            <w:tcW w:w="850" w:type="dxa"/>
          </w:tcPr>
          <w:p w:rsidR="00EB7FD8" w:rsidRPr="00D0027B" w:rsidRDefault="00282C95" w:rsidP="00282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972B9C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972B9C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1" w:type="dxa"/>
          </w:tcPr>
          <w:p w:rsidR="00EB7FD8" w:rsidRPr="00D0027B" w:rsidRDefault="00972B9C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7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EB7FD8" w:rsidRPr="00D0027B" w:rsidRDefault="00972B9C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7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</w:tcPr>
          <w:p w:rsidR="00EB7FD8" w:rsidRPr="00D0027B" w:rsidRDefault="00EB7FD8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7FD8" w:rsidRPr="00873910" w:rsidRDefault="00EB7FD8" w:rsidP="00972B9C">
            <w:pPr>
              <w:suppressAutoHyphens/>
              <w:jc w:val="both"/>
            </w:pPr>
            <w:r>
              <w:t xml:space="preserve">Начальник Отдела по </w:t>
            </w:r>
            <w:r w:rsidR="00972B9C">
              <w:t>информационной политике</w:t>
            </w:r>
            <w:r w:rsidR="00066568">
              <w:t xml:space="preserve"> </w:t>
            </w:r>
            <w:r w:rsidR="00972B9C">
              <w:t>А</w:t>
            </w:r>
            <w:r>
              <w:t>.</w:t>
            </w:r>
            <w:r w:rsidR="00972B9C">
              <w:t>С</w:t>
            </w:r>
            <w:r>
              <w:t>.</w:t>
            </w:r>
            <w:r w:rsidR="00CF3A0D">
              <w:t xml:space="preserve"> </w:t>
            </w:r>
            <w:r w:rsidR="00972B9C">
              <w:t>Ковалев</w:t>
            </w:r>
          </w:p>
        </w:tc>
      </w:tr>
      <w:tr w:rsidR="00DE2C4D" w:rsidRPr="00D0027B" w:rsidTr="00F563FD">
        <w:tc>
          <w:tcPr>
            <w:tcW w:w="568" w:type="dxa"/>
          </w:tcPr>
          <w:p w:rsidR="00DE2C4D" w:rsidRPr="00D0027B" w:rsidRDefault="00DE2C4D" w:rsidP="00DE2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DE2C4D" w:rsidRPr="00D0027B" w:rsidRDefault="00DE2C4D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органов и организаций, предоставляющих услуги, официальный сайт которых адаптирован для лиц с нарушениями зрения (слабовидящих) (от общего количества органов  организаций, предоставляющих услуги)</w:t>
            </w:r>
          </w:p>
        </w:tc>
        <w:tc>
          <w:tcPr>
            <w:tcW w:w="850" w:type="dxa"/>
          </w:tcPr>
          <w:p w:rsidR="00DE2C4D" w:rsidRPr="00D0027B" w:rsidRDefault="00282C95" w:rsidP="00282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E2C4D" w:rsidRPr="00D0027B" w:rsidRDefault="00DE2C4D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DE2C4D" w:rsidRPr="00D0027B" w:rsidRDefault="00DE2C4D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E2C4D" w:rsidRPr="00D0027B" w:rsidRDefault="00DE2C4D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E2C4D" w:rsidRPr="00D0027B" w:rsidRDefault="00DE2C4D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E2C4D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" w:type="dxa"/>
          </w:tcPr>
          <w:p w:rsidR="00DE2C4D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2C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3" w:type="dxa"/>
          </w:tcPr>
          <w:p w:rsidR="00DE2C4D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1" w:type="dxa"/>
          </w:tcPr>
          <w:p w:rsidR="00DE2C4D" w:rsidRPr="00D0027B" w:rsidRDefault="00DE2C4D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DE2C4D" w:rsidRPr="00873910" w:rsidRDefault="00DE2C4D" w:rsidP="00A81EF9">
            <w:pPr>
              <w:suppressAutoHyphens/>
              <w:jc w:val="both"/>
            </w:pPr>
            <w:r>
              <w:t>Начальник Отдела по информационной политике А.С.</w:t>
            </w:r>
            <w:r w:rsidR="00CF3A0D">
              <w:t xml:space="preserve"> </w:t>
            </w:r>
            <w:r>
              <w:t>Ковалев</w:t>
            </w:r>
          </w:p>
        </w:tc>
      </w:tr>
      <w:tr w:rsidR="00EB7FD8" w:rsidRPr="00D0027B" w:rsidTr="00F563FD">
        <w:tc>
          <w:tcPr>
            <w:tcW w:w="568" w:type="dxa"/>
          </w:tcPr>
          <w:p w:rsidR="00EB7FD8" w:rsidRPr="00D0027B" w:rsidRDefault="00282C95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EB7FD8" w:rsidRPr="00D0027B" w:rsidRDefault="00282C95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приоритетных объектов культурного наследия, доступных для инвалидов и других маломобильных групп населения, в общем количестве приоритетных объектов культурного наследия</w:t>
            </w:r>
          </w:p>
        </w:tc>
        <w:tc>
          <w:tcPr>
            <w:tcW w:w="850" w:type="dxa"/>
          </w:tcPr>
          <w:p w:rsidR="00EB7FD8" w:rsidRPr="00D0027B" w:rsidRDefault="00282C95" w:rsidP="00282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1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93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1" w:type="dxa"/>
          </w:tcPr>
          <w:p w:rsidR="00EB7FD8" w:rsidRPr="00D0027B" w:rsidRDefault="00282C95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CF3A0D" w:rsidRDefault="00282C95" w:rsidP="00CF3A0D">
            <w:pPr>
              <w:suppressAutoHyphens/>
            </w:pPr>
            <w:r>
              <w:t xml:space="preserve">Начальник Отдела культуры </w:t>
            </w:r>
          </w:p>
          <w:p w:rsidR="00EB7FD8" w:rsidRPr="00873910" w:rsidRDefault="00282C95" w:rsidP="00CF3A0D">
            <w:pPr>
              <w:suppressAutoHyphens/>
            </w:pPr>
            <w:r>
              <w:t>А.В.</w:t>
            </w:r>
            <w:r w:rsidR="00CF3A0D">
              <w:t xml:space="preserve"> </w:t>
            </w:r>
            <w:r>
              <w:t>Чемарева</w:t>
            </w:r>
          </w:p>
        </w:tc>
      </w:tr>
      <w:tr w:rsidR="008140CF" w:rsidRPr="00D0027B" w:rsidTr="00F563FD">
        <w:tc>
          <w:tcPr>
            <w:tcW w:w="568" w:type="dxa"/>
          </w:tcPr>
          <w:p w:rsidR="008140CF" w:rsidRDefault="008140CF" w:rsidP="00EB7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8140CF" w:rsidRDefault="008140CF" w:rsidP="00814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г. № 649</w:t>
            </w:r>
          </w:p>
        </w:tc>
        <w:tc>
          <w:tcPr>
            <w:tcW w:w="850" w:type="dxa"/>
          </w:tcPr>
          <w:p w:rsidR="008140CF" w:rsidRDefault="008140CF" w:rsidP="00282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Едини-цы, прирост к преды-дущему году</w:t>
            </w:r>
          </w:p>
        </w:tc>
        <w:tc>
          <w:tcPr>
            <w:tcW w:w="567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8140CF" w:rsidRDefault="008140CF" w:rsidP="00EB7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140CF" w:rsidRDefault="008140CF" w:rsidP="00CF3A0D">
            <w:pPr>
              <w:suppressAutoHyphens/>
            </w:pPr>
            <w:r>
              <w:t>Начальник Отдела по городу С.А.</w:t>
            </w:r>
            <w:r w:rsidR="00CF3A0D">
              <w:t xml:space="preserve"> </w:t>
            </w:r>
            <w:r>
              <w:t>Носков, Главы сельских поселений</w:t>
            </w:r>
          </w:p>
        </w:tc>
      </w:tr>
    </w:tbl>
    <w:p w:rsidR="00EB7FD8" w:rsidRDefault="00EB7FD8" w:rsidP="00EB7FD8">
      <w:pPr>
        <w:suppressAutoHyphens/>
        <w:autoSpaceDE w:val="0"/>
        <w:autoSpaceDN w:val="0"/>
        <w:adjustRightInd w:val="0"/>
        <w:jc w:val="both"/>
        <w:rPr>
          <w:highlight w:val="yellow"/>
        </w:rPr>
      </w:pPr>
    </w:p>
    <w:p w:rsidR="00685DF4" w:rsidRDefault="00685DF4" w:rsidP="00EB7FD8">
      <w:pPr>
        <w:tabs>
          <w:tab w:val="left" w:pos="1500"/>
        </w:tabs>
        <w:suppressAutoHyphens/>
        <w:jc w:val="both"/>
        <w:rPr>
          <w:sz w:val="28"/>
        </w:rPr>
      </w:pP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 w:rsidR="00373A35"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EB7FD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="00A15D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530A2">
        <w:rPr>
          <w:sz w:val="28"/>
          <w:szCs w:val="28"/>
        </w:rPr>
        <w:t>А.В. Голуб</w:t>
      </w:r>
    </w:p>
    <w:p w:rsidR="000A1636" w:rsidRDefault="000A1636" w:rsidP="00EB7FD8">
      <w:pPr>
        <w:tabs>
          <w:tab w:val="left" w:pos="1500"/>
        </w:tabs>
        <w:suppressAutoHyphens/>
        <w:jc w:val="both"/>
      </w:pPr>
    </w:p>
    <w:sectPr w:rsidR="000A1636" w:rsidSect="00337C75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53" w:rsidRDefault="00492253">
      <w:r>
        <w:separator/>
      </w:r>
    </w:p>
  </w:endnote>
  <w:endnote w:type="continuationSeparator" w:id="0">
    <w:p w:rsidR="00492253" w:rsidRDefault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0F" w:rsidRPr="0038390F" w:rsidRDefault="0038390F">
    <w:pPr>
      <w:pStyle w:val="ab"/>
      <w:rPr>
        <w:sz w:val="16"/>
      </w:rPr>
    </w:pPr>
    <w:r>
      <w:rPr>
        <w:sz w:val="16"/>
      </w:rPr>
      <w:t>Рег. № исx-6786 от 19.11.2019, Подписано ЭП: Голуб Александр Владимирович, "Глава муниципального образования ""Починковский район"" Смоленской" 19.11.2019 8:17:59,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53" w:rsidRDefault="00492253">
      <w:r>
        <w:separator/>
      </w:r>
    </w:p>
  </w:footnote>
  <w:footnote w:type="continuationSeparator" w:id="0">
    <w:p w:rsidR="00492253" w:rsidRDefault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F7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75" w:rsidRDefault="00F77AAB">
    <w:pPr>
      <w:pStyle w:val="a3"/>
      <w:jc w:val="center"/>
    </w:pPr>
    <w:r>
      <w:fldChar w:fldCharType="begin"/>
    </w:r>
    <w:r w:rsidR="00337C75">
      <w:instrText xml:space="preserve"> PAGE   \* MERGEFORMAT </w:instrText>
    </w:r>
    <w:r>
      <w:fldChar w:fldCharType="separate"/>
    </w:r>
    <w:r w:rsidR="00455D8C">
      <w:rPr>
        <w:noProof/>
      </w:rPr>
      <w:t>3</w:t>
    </w:r>
    <w:r>
      <w:fldChar w:fldCharType="end"/>
    </w:r>
  </w:p>
  <w:p w:rsidR="00337C75" w:rsidRDefault="00337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568"/>
    <w:rsid w:val="00081E55"/>
    <w:rsid w:val="00083EC8"/>
    <w:rsid w:val="000852BA"/>
    <w:rsid w:val="00090BC4"/>
    <w:rsid w:val="0009150E"/>
    <w:rsid w:val="00092B76"/>
    <w:rsid w:val="00093336"/>
    <w:rsid w:val="000A1636"/>
    <w:rsid w:val="000C3466"/>
    <w:rsid w:val="000D5EE7"/>
    <w:rsid w:val="000F4333"/>
    <w:rsid w:val="00106B5A"/>
    <w:rsid w:val="00115A67"/>
    <w:rsid w:val="00122E0D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82C95"/>
    <w:rsid w:val="002A044E"/>
    <w:rsid w:val="002A1F77"/>
    <w:rsid w:val="002A36B0"/>
    <w:rsid w:val="002B047D"/>
    <w:rsid w:val="002B4A76"/>
    <w:rsid w:val="002C4715"/>
    <w:rsid w:val="002E0CA2"/>
    <w:rsid w:val="002F56C6"/>
    <w:rsid w:val="002F5C87"/>
    <w:rsid w:val="003049E7"/>
    <w:rsid w:val="00311F02"/>
    <w:rsid w:val="003210D8"/>
    <w:rsid w:val="00334840"/>
    <w:rsid w:val="00334E84"/>
    <w:rsid w:val="00337C75"/>
    <w:rsid w:val="0034254D"/>
    <w:rsid w:val="00350590"/>
    <w:rsid w:val="003526B0"/>
    <w:rsid w:val="00355FC8"/>
    <w:rsid w:val="00356748"/>
    <w:rsid w:val="00373A35"/>
    <w:rsid w:val="00382F0D"/>
    <w:rsid w:val="0038390F"/>
    <w:rsid w:val="003875DB"/>
    <w:rsid w:val="00395F75"/>
    <w:rsid w:val="003A0621"/>
    <w:rsid w:val="003A493F"/>
    <w:rsid w:val="003A64E2"/>
    <w:rsid w:val="003B3C04"/>
    <w:rsid w:val="003B55D3"/>
    <w:rsid w:val="003B7C70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5D8C"/>
    <w:rsid w:val="00456514"/>
    <w:rsid w:val="00461267"/>
    <w:rsid w:val="004674F2"/>
    <w:rsid w:val="00470520"/>
    <w:rsid w:val="004706F9"/>
    <w:rsid w:val="00471032"/>
    <w:rsid w:val="00476D20"/>
    <w:rsid w:val="004832A3"/>
    <w:rsid w:val="00492253"/>
    <w:rsid w:val="004A4FEC"/>
    <w:rsid w:val="004B3DB1"/>
    <w:rsid w:val="004B3DBF"/>
    <w:rsid w:val="004D29E6"/>
    <w:rsid w:val="004D7596"/>
    <w:rsid w:val="004E65BD"/>
    <w:rsid w:val="004F673A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B73A4"/>
    <w:rsid w:val="005C422D"/>
    <w:rsid w:val="005C436A"/>
    <w:rsid w:val="005C6DEC"/>
    <w:rsid w:val="005D5151"/>
    <w:rsid w:val="005E6CF2"/>
    <w:rsid w:val="005E7165"/>
    <w:rsid w:val="005F4A83"/>
    <w:rsid w:val="00610E46"/>
    <w:rsid w:val="006113FC"/>
    <w:rsid w:val="00620705"/>
    <w:rsid w:val="00620DE1"/>
    <w:rsid w:val="00620F78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54D97"/>
    <w:rsid w:val="00777FD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C3053"/>
    <w:rsid w:val="007E700F"/>
    <w:rsid w:val="007E7AA9"/>
    <w:rsid w:val="008001CB"/>
    <w:rsid w:val="00813C46"/>
    <w:rsid w:val="008140CF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8F192B"/>
    <w:rsid w:val="00916329"/>
    <w:rsid w:val="00925EFE"/>
    <w:rsid w:val="00932B69"/>
    <w:rsid w:val="00946880"/>
    <w:rsid w:val="0095552B"/>
    <w:rsid w:val="009672A6"/>
    <w:rsid w:val="00972B9C"/>
    <w:rsid w:val="00990085"/>
    <w:rsid w:val="009B0665"/>
    <w:rsid w:val="009B47E4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14E"/>
    <w:rsid w:val="00A11781"/>
    <w:rsid w:val="00A15D07"/>
    <w:rsid w:val="00A177B0"/>
    <w:rsid w:val="00A24B2F"/>
    <w:rsid w:val="00A3256A"/>
    <w:rsid w:val="00A51519"/>
    <w:rsid w:val="00A649AA"/>
    <w:rsid w:val="00A71D17"/>
    <w:rsid w:val="00A863F8"/>
    <w:rsid w:val="00A902E2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60FF5"/>
    <w:rsid w:val="00B7483C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3A0D"/>
    <w:rsid w:val="00CF64BC"/>
    <w:rsid w:val="00D200D3"/>
    <w:rsid w:val="00D34652"/>
    <w:rsid w:val="00D51ECC"/>
    <w:rsid w:val="00D55464"/>
    <w:rsid w:val="00D55FD6"/>
    <w:rsid w:val="00D75834"/>
    <w:rsid w:val="00D75B6B"/>
    <w:rsid w:val="00D76F99"/>
    <w:rsid w:val="00D91BBD"/>
    <w:rsid w:val="00DA1ADC"/>
    <w:rsid w:val="00DB071B"/>
    <w:rsid w:val="00DB0CBA"/>
    <w:rsid w:val="00DB2131"/>
    <w:rsid w:val="00DB5588"/>
    <w:rsid w:val="00DE2C4D"/>
    <w:rsid w:val="00E01509"/>
    <w:rsid w:val="00E32FE2"/>
    <w:rsid w:val="00E3723E"/>
    <w:rsid w:val="00E43239"/>
    <w:rsid w:val="00E4483B"/>
    <w:rsid w:val="00E45297"/>
    <w:rsid w:val="00E53453"/>
    <w:rsid w:val="00E543E6"/>
    <w:rsid w:val="00E61A5B"/>
    <w:rsid w:val="00E855B2"/>
    <w:rsid w:val="00E92385"/>
    <w:rsid w:val="00E976AD"/>
    <w:rsid w:val="00EB1123"/>
    <w:rsid w:val="00EB5D20"/>
    <w:rsid w:val="00EB7FD8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563FD"/>
    <w:rsid w:val="00F64BAB"/>
    <w:rsid w:val="00F77AAB"/>
    <w:rsid w:val="00F8689D"/>
    <w:rsid w:val="00F9384C"/>
    <w:rsid w:val="00F97CC0"/>
    <w:rsid w:val="00FA3BFA"/>
    <w:rsid w:val="00FB2786"/>
    <w:rsid w:val="00FB4941"/>
    <w:rsid w:val="00FB6606"/>
    <w:rsid w:val="00FC08E4"/>
    <w:rsid w:val="00FD1E2E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B7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B7F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uiPriority w:val="99"/>
    <w:rsid w:val="00EB7F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7FD8"/>
    <w:rPr>
      <w:rFonts w:ascii="Arial" w:hAnsi="Arial" w:cs="Arial"/>
      <w:lang w:eastAsia="ar-SA" w:bidi="ar-SA"/>
    </w:rPr>
  </w:style>
  <w:style w:type="character" w:customStyle="1" w:styleId="a4">
    <w:name w:val="Верхний колонтитул Знак"/>
    <w:link w:val="a3"/>
    <w:uiPriority w:val="99"/>
    <w:rsid w:val="00337C7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B7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EB7F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uiPriority w:val="99"/>
    <w:rsid w:val="00EB7F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7FD8"/>
    <w:rPr>
      <w:rFonts w:ascii="Arial" w:hAnsi="Arial" w:cs="Arial"/>
      <w:lang w:eastAsia="ar-SA" w:bidi="ar-SA"/>
    </w:rPr>
  </w:style>
  <w:style w:type="character" w:customStyle="1" w:styleId="a4">
    <w:name w:val="Верхний колонтитул Знак"/>
    <w:link w:val="a3"/>
    <w:uiPriority w:val="99"/>
    <w:rsid w:val="00337C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EE0A-6FCD-42DC-913A-364845E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4751</CharactersWithSpaces>
  <SharedDoc>false</SharedDoc>
  <HLinks>
    <vt:vector size="18" baseType="variant"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consultantplus://offline/ref=BA6937766DEECB22FAF8E65CC6BD1A049B73C68F59592D4A2C3F0DC3C9CEFFH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consultantplus://offline/ref=C7036DA521A00A8069F9911AB4E121AE8ADBEEF5042C21B6F5BB3998008A6C5AY4A0T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consultantplus://offline/ref=EDCC5BB68204E3551085DAD35AE1F202833AEBE47A05FE9FD983BD00AFBEF7H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2011-04-28T08:11:00Z</cp:lastPrinted>
  <dcterms:created xsi:type="dcterms:W3CDTF">2019-11-25T09:49:00Z</dcterms:created>
  <dcterms:modified xsi:type="dcterms:W3CDTF">2019-11-25T09:49:00Z</dcterms:modified>
</cp:coreProperties>
</file>