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1" w:rsidRPr="008C43A6" w:rsidRDefault="000C6855" w:rsidP="000C6855">
      <w:pPr>
        <w:pStyle w:val="ConsPlusNormal"/>
        <w:ind w:firstLine="540"/>
        <w:jc w:val="center"/>
      </w:pPr>
      <w:r w:rsidRPr="008C43A6">
        <w:rPr>
          <w:noProof/>
        </w:rPr>
        <w:drawing>
          <wp:anchor distT="0" distB="0" distL="114300" distR="114300" simplePos="0" relativeHeight="251659264" behindDoc="1" locked="0" layoutInCell="1" allowOverlap="1" wp14:anchorId="6D1488D8" wp14:editId="47D2B417">
            <wp:simplePos x="0" y="0"/>
            <wp:positionH relativeFrom="column">
              <wp:posOffset>2524125</wp:posOffset>
            </wp:positionH>
            <wp:positionV relativeFrom="paragraph">
              <wp:posOffset>-352425</wp:posOffset>
            </wp:positionV>
            <wp:extent cx="771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proofErr w:type="gramStart"/>
      <w:r w:rsidRPr="008C43A6">
        <w:rPr>
          <w:sz w:val="28"/>
        </w:rPr>
        <w:t>П</w:t>
      </w:r>
      <w:proofErr w:type="gramEnd"/>
      <w:r w:rsidRPr="008C43A6">
        <w:rPr>
          <w:sz w:val="28"/>
        </w:rPr>
        <w:t xml:space="preserve">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790C68" w:rsidRDefault="000C6855" w:rsidP="00790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0C6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790C68" w:rsidRDefault="000C6855" w:rsidP="0079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0C6855" w:rsidRPr="00790C68" w:rsidRDefault="000C6855" w:rsidP="00790C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0C6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790C68" w:rsidRDefault="000C6855" w:rsidP="0079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постановление Администрации муниципального образования «Починковский район» Смоленской области  от  06.03.2017 № 0052-адм</w:t>
            </w:r>
          </w:p>
        </w:tc>
      </w:tr>
    </w:tbl>
    <w:p w:rsidR="00041EB0" w:rsidRPr="008C43A6" w:rsidRDefault="00041EB0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0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постановляет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 от  06.03.2017 № 0052-адм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области» </w:t>
      </w:r>
      <w:r w:rsidR="003F6683" w:rsidRPr="008C43A6">
        <w:rPr>
          <w:rFonts w:ascii="Times New Roman" w:hAnsi="Times New Roman" w:cs="Times New Roman"/>
          <w:sz w:val="28"/>
          <w:szCs w:val="28"/>
        </w:rPr>
        <w:t>изложив Порядок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области в новой редакции (прилагается).</w:t>
      </w:r>
      <w:proofErr w:type="gramEnd"/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ED3ADF" w:rsidRPr="008C43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9E6837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1D633C" w:rsidRPr="008C43A6">
        <w:rPr>
          <w:rFonts w:ascii="Times New Roman" w:hAnsi="Times New Roman" w:cs="Times New Roman"/>
          <w:sz w:val="28"/>
          <w:szCs w:val="28"/>
        </w:rPr>
        <w:t>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или изменяющих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</w:t>
      </w:r>
      <w:r w:rsidR="001A1255" w:rsidRPr="008C43A6">
        <w:rPr>
          <w:rFonts w:ascii="Times New Roman" w:hAnsi="Times New Roman" w:cs="Times New Roman"/>
          <w:sz w:val="28"/>
          <w:szCs w:val="28"/>
        </w:rPr>
        <w:t>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требования);</w:t>
      </w:r>
      <w:proofErr w:type="gramEnd"/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2F3623" w:rsidRPr="008C43A6">
        <w:rPr>
          <w:rFonts w:ascii="Times New Roman" w:hAnsi="Times New Roman" w:cs="Times New Roman"/>
          <w:sz w:val="28"/>
          <w:szCs w:val="28"/>
        </w:rPr>
        <w:t>х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новые  или изменяющих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  <w:proofErr w:type="gramEnd"/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F61C87" w:rsidRPr="008C43A6">
        <w:rPr>
          <w:rFonts w:ascii="Times New Roman" w:hAnsi="Times New Roman" w:cs="Times New Roman"/>
          <w:sz w:val="28"/>
          <w:szCs w:val="28"/>
        </w:rPr>
        <w:t>устанавливающих новые  или изменяющих ранее предусмотренные муниципальными  нормативными правовыми актами обязательные требования  для субъектов инвестиционной деятельности.</w:t>
      </w:r>
      <w:proofErr w:type="gramEnd"/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проектов НПА Совета депутатов муниципального образования «Починковский район» Смоленской области, регулирующих бюджетные правоотношения;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Pr="008C43A6">
        <w:rPr>
          <w:rFonts w:ascii="Times New Roman" w:hAnsi="Times New Roman" w:cs="Times New Roman"/>
          <w:sz w:val="28"/>
          <w:szCs w:val="28"/>
        </w:rPr>
        <w:t>, разработанных в 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AA204A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разделе "Оценка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(ОРВ)".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вводящие ранее не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 и одновременно приводящие к возникновению ранее не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вводящие ранее не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введению, но не приводящие к возникновению ранее не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  <w:proofErr w:type="gramEnd"/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2.4.2. Публичные консультации 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устанавливается в зависимости от степени регулирующего воздействия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- 10 рабочих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- 7 рабочих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- 5 рабочих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или порядок реализации полномочий органов местного самоуправления муниципального образования «Починковский район» 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з)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где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НПА, а также по их учету разработчиком);</w:t>
      </w:r>
      <w:proofErr w:type="gramEnd"/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D279BC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не позднее трех рабочих дней с момента подписания заключения руководителем уполномоченного органа.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8C43A6">
        <w:rPr>
          <w:rFonts w:ascii="Times New Roman" w:hAnsi="Times New Roman" w:cs="Times New Roman"/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Pr="008C43A6">
        <w:rPr>
          <w:rFonts w:ascii="Times New Roman" w:hAnsi="Times New Roman" w:cs="Times New Roman"/>
          <w:sz w:val="28"/>
          <w:szCs w:val="28"/>
        </w:rPr>
        <w:t>не позднее трех рабочих дней с момента подписания заключения руководителем</w:t>
      </w:r>
      <w:r w:rsidR="00BF5FE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установленный срок, доработанный по результатам проведения углубленной оценки проект НПА повторно направляется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муниципальном образовании «Починковский район</w:t>
      </w:r>
      <w:proofErr w:type="gramEnd"/>
      <w:r w:rsidR="005252FB" w:rsidRPr="008C43A6">
        <w:rPr>
          <w:rFonts w:ascii="Times New Roman" w:hAnsi="Times New Roman" w:cs="Times New Roman"/>
          <w:sz w:val="28"/>
          <w:szCs w:val="28"/>
        </w:rPr>
        <w:t xml:space="preserve">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proofErr w:type="gramStart"/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  <w:proofErr w:type="gramEnd"/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>в соответствии с  Инструкцией по делопроизводству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</w:t>
      </w:r>
      <w:proofErr w:type="gramStart"/>
      <w:r w:rsidR="00D9200B" w:rsidRPr="008C43A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3.1. Дополнительные публичные консультации могут проводиться уполномоченным органом при проведении углубленной оценки в отношении 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публичных консультаций уполномоченным органом течение 3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 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по форме согласно приложению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>НПА, в отношении которого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с которыми Администрацией муниципального образования «Починковский район» Смоленской области  заключены Соглашения о 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31D4" w:rsidRPr="008C43A6" w:rsidRDefault="0042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1D4" w:rsidRPr="008C43A6" w:rsidRDefault="0042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Pr="008C43A6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81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публичных консультаций в целях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из  них,  которые,  по  Вашему  мнению,  были бы менее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   будут   затронуты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конкурентную  среду  в  отрасли,  будет  ли  способствовать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понятно  прописаны  административные  процедуры, реализуемые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возникновению   избыточных  обязанностей  субъектов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необоснованному существенному росту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субъектами  предпринимательской  и инвестиционной деятельности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-  создает ли исполнение положений правового регулирования существенные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предпринимательской    и    инвестиционной    деятельности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Оцените   издержки/упущенную  выгоду  (прямого,  административного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Является  ли  предлагаемое  правовое  регулирование  недискриминационным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порождаемых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интересы которых будут затронуты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 xml:space="preserve">    7.  Оценка изменений расходов и доходов субъектов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на осуществление такой деятельности,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Сведения о результатах проведенных публичных консультаций (в случае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их проведения) и срок, в течение которого принимались предложения в связи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6. Вывод о достаточности оснований для принятия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11"/>
      <w:foot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BC" w:rsidRDefault="00D279BC" w:rsidP="00376AE5">
      <w:pPr>
        <w:spacing w:after="0" w:line="240" w:lineRule="auto"/>
      </w:pPr>
      <w:r>
        <w:separator/>
      </w:r>
    </w:p>
  </w:endnote>
  <w:endnote w:type="continuationSeparator" w:id="0">
    <w:p w:rsidR="00D279BC" w:rsidRDefault="00D279BC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F5" w:rsidRPr="00FA4BF5" w:rsidRDefault="00FA4BF5">
    <w:pPr>
      <w:pStyle w:val="a6"/>
      <w:rPr>
        <w:sz w:val="16"/>
      </w:rPr>
    </w:pPr>
    <w:r>
      <w:rPr>
        <w:sz w:val="16"/>
      </w:rPr>
      <w:t>Рег. № исх-0154 от 21.03.2022, Подписано ЭП: Сидоренкова Валентина Владимировна,  21.03.2022 12:34:55,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BC" w:rsidRDefault="00D279BC" w:rsidP="00376AE5">
      <w:pPr>
        <w:spacing w:after="0" w:line="240" w:lineRule="auto"/>
      </w:pPr>
      <w:r>
        <w:separator/>
      </w:r>
    </w:p>
  </w:footnote>
  <w:footnote w:type="continuationSeparator" w:id="0">
    <w:p w:rsidR="00D279BC" w:rsidRDefault="00D279BC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FA795E" w:rsidRDefault="00FA79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C68">
          <w:rPr>
            <w:noProof/>
          </w:rPr>
          <w:t>1</w:t>
        </w:r>
        <w:r>
          <w:fldChar w:fldCharType="end"/>
        </w:r>
      </w:p>
    </w:sdtContent>
  </w:sdt>
  <w:p w:rsidR="00FA795E" w:rsidRDefault="00FA7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41038"/>
    <w:rsid w:val="00041EB0"/>
    <w:rsid w:val="0005100F"/>
    <w:rsid w:val="00052996"/>
    <w:rsid w:val="000544C7"/>
    <w:rsid w:val="00056214"/>
    <w:rsid w:val="000969CC"/>
    <w:rsid w:val="000A5515"/>
    <w:rsid w:val="000C6855"/>
    <w:rsid w:val="000D04E2"/>
    <w:rsid w:val="000D6350"/>
    <w:rsid w:val="001027A0"/>
    <w:rsid w:val="0014505D"/>
    <w:rsid w:val="001A1255"/>
    <w:rsid w:val="001A12F7"/>
    <w:rsid w:val="001D04F9"/>
    <w:rsid w:val="001D633C"/>
    <w:rsid w:val="002105E2"/>
    <w:rsid w:val="002458F3"/>
    <w:rsid w:val="002525D2"/>
    <w:rsid w:val="00293FD2"/>
    <w:rsid w:val="002B176A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2E88"/>
    <w:rsid w:val="003A4A37"/>
    <w:rsid w:val="003E75B5"/>
    <w:rsid w:val="003F6683"/>
    <w:rsid w:val="004018CC"/>
    <w:rsid w:val="00413997"/>
    <w:rsid w:val="004231D4"/>
    <w:rsid w:val="004242EC"/>
    <w:rsid w:val="004257A3"/>
    <w:rsid w:val="0042781A"/>
    <w:rsid w:val="004542DF"/>
    <w:rsid w:val="00470C98"/>
    <w:rsid w:val="0048264A"/>
    <w:rsid w:val="004B0349"/>
    <w:rsid w:val="004E5F1A"/>
    <w:rsid w:val="005252FB"/>
    <w:rsid w:val="00563AA9"/>
    <w:rsid w:val="0057679E"/>
    <w:rsid w:val="005A45B6"/>
    <w:rsid w:val="00640CB8"/>
    <w:rsid w:val="006424A1"/>
    <w:rsid w:val="00651E41"/>
    <w:rsid w:val="0068007A"/>
    <w:rsid w:val="00681E0F"/>
    <w:rsid w:val="00694B01"/>
    <w:rsid w:val="006D4594"/>
    <w:rsid w:val="006F2704"/>
    <w:rsid w:val="0072262E"/>
    <w:rsid w:val="00725F2D"/>
    <w:rsid w:val="00790C68"/>
    <w:rsid w:val="007E7494"/>
    <w:rsid w:val="007F6A81"/>
    <w:rsid w:val="00804F39"/>
    <w:rsid w:val="0080512C"/>
    <w:rsid w:val="00814993"/>
    <w:rsid w:val="00831E55"/>
    <w:rsid w:val="00850AC6"/>
    <w:rsid w:val="00883ED4"/>
    <w:rsid w:val="00884827"/>
    <w:rsid w:val="00885AFE"/>
    <w:rsid w:val="008B033B"/>
    <w:rsid w:val="008C43A6"/>
    <w:rsid w:val="008D1F2B"/>
    <w:rsid w:val="008D33C0"/>
    <w:rsid w:val="008E3D0E"/>
    <w:rsid w:val="00933F22"/>
    <w:rsid w:val="00943AA5"/>
    <w:rsid w:val="00952CF8"/>
    <w:rsid w:val="00972455"/>
    <w:rsid w:val="00973E4F"/>
    <w:rsid w:val="00974700"/>
    <w:rsid w:val="00977D84"/>
    <w:rsid w:val="009932FE"/>
    <w:rsid w:val="009A2753"/>
    <w:rsid w:val="009E6837"/>
    <w:rsid w:val="009F6FC4"/>
    <w:rsid w:val="00A52A59"/>
    <w:rsid w:val="00AA204A"/>
    <w:rsid w:val="00AA352F"/>
    <w:rsid w:val="00AB54AA"/>
    <w:rsid w:val="00AD2B00"/>
    <w:rsid w:val="00B1011C"/>
    <w:rsid w:val="00B32C26"/>
    <w:rsid w:val="00B47BA1"/>
    <w:rsid w:val="00B9015E"/>
    <w:rsid w:val="00B9139D"/>
    <w:rsid w:val="00B930B5"/>
    <w:rsid w:val="00BB4271"/>
    <w:rsid w:val="00BE7B07"/>
    <w:rsid w:val="00BF5FE6"/>
    <w:rsid w:val="00C053AB"/>
    <w:rsid w:val="00C11E33"/>
    <w:rsid w:val="00C14F96"/>
    <w:rsid w:val="00C26ED9"/>
    <w:rsid w:val="00C752AF"/>
    <w:rsid w:val="00CB1EC0"/>
    <w:rsid w:val="00CF7A46"/>
    <w:rsid w:val="00D11B3B"/>
    <w:rsid w:val="00D11D1D"/>
    <w:rsid w:val="00D12DF3"/>
    <w:rsid w:val="00D214BE"/>
    <w:rsid w:val="00D279BC"/>
    <w:rsid w:val="00D419C8"/>
    <w:rsid w:val="00D74915"/>
    <w:rsid w:val="00D83956"/>
    <w:rsid w:val="00D9200B"/>
    <w:rsid w:val="00DA60A1"/>
    <w:rsid w:val="00DC718A"/>
    <w:rsid w:val="00DD0D70"/>
    <w:rsid w:val="00DF0E5E"/>
    <w:rsid w:val="00E833AC"/>
    <w:rsid w:val="00E94FF0"/>
    <w:rsid w:val="00EC2C68"/>
    <w:rsid w:val="00EC2F20"/>
    <w:rsid w:val="00ED3ADF"/>
    <w:rsid w:val="00F2139A"/>
    <w:rsid w:val="00F22C4D"/>
    <w:rsid w:val="00F31BBE"/>
    <w:rsid w:val="00F61C87"/>
    <w:rsid w:val="00F939DC"/>
    <w:rsid w:val="00FA4BF5"/>
    <w:rsid w:val="00FA795E"/>
    <w:rsid w:val="00FD75A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0994-27AA-49D0-B164-CA4B6C5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Суринов Александр Сергеевич (Починковский район)</cp:lastModifiedBy>
  <cp:revision>2</cp:revision>
  <cp:lastPrinted>2017-02-15T09:00:00Z</cp:lastPrinted>
  <dcterms:created xsi:type="dcterms:W3CDTF">2022-03-22T14:58:00Z</dcterms:created>
  <dcterms:modified xsi:type="dcterms:W3CDTF">2022-03-22T14:58:00Z</dcterms:modified>
</cp:coreProperties>
</file>