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5A458F">
        <w:trPr>
          <w:trHeight w:val="1457"/>
        </w:trPr>
        <w:tc>
          <w:tcPr>
            <w:tcW w:w="9960" w:type="dxa"/>
          </w:tcPr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Т.В. </w:t>
            </w:r>
            <w:proofErr w:type="spellStart"/>
            <w:r>
              <w:rPr>
                <w:color w:val="000000"/>
                <w:sz w:val="28"/>
                <w:szCs w:val="28"/>
              </w:rPr>
              <w:t>Конопелькина</w:t>
            </w:r>
            <w:proofErr w:type="spellEnd"/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5B77DF">
        <w:rPr>
          <w:color w:val="000000"/>
          <w:sz w:val="28"/>
          <w:szCs w:val="28"/>
        </w:rPr>
        <w:t>октябрь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:rsidTr="00894806">
        <w:trPr>
          <w:trHeight w:val="24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84" w:type="dxa"/>
            <w:gridSpan w:val="2"/>
          </w:tcPr>
          <w:p w:rsidR="00D473A4" w:rsidRDefault="00D473A4">
            <w:proofErr w:type="spellStart"/>
            <w:r w:rsidRPr="00605492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605492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53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473A4" w:rsidRPr="00C24E39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связи), ПГС</w:t>
            </w:r>
          </w:p>
        </w:tc>
        <w:tc>
          <w:tcPr>
            <w:tcW w:w="2530" w:type="dxa"/>
            <w:gridSpan w:val="2"/>
          </w:tcPr>
          <w:p w:rsidR="00D473A4" w:rsidRDefault="00D473A4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84" w:type="dxa"/>
            <w:gridSpan w:val="2"/>
          </w:tcPr>
          <w:p w:rsidR="00D473A4" w:rsidRDefault="00D473A4">
            <w:proofErr w:type="spellStart"/>
            <w:r w:rsidRPr="00605492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605492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B62D9E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D473A4" w:rsidP="00D473A4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Pr="00F42AE9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:rsidR="00D473A4" w:rsidRDefault="00D473A4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proofErr w:type="spellStart"/>
            <w:r w:rsidRPr="001F75C3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1F75C3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D473A4" w:rsidRPr="00431A57" w:rsidRDefault="00D473A4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25.10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proofErr w:type="spellStart"/>
            <w:r w:rsidRPr="00330051"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 w:rsidRPr="00330051"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6692" w:type="dxa"/>
            <w:gridSpan w:val="2"/>
          </w:tcPr>
          <w:p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320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водителями учреждений и организаций </w:t>
            </w:r>
            <w:proofErr w:type="spellStart"/>
            <w:r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2523" w:type="dxa"/>
          </w:tcPr>
          <w:p w:rsidR="005A690E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05.10</w:t>
            </w:r>
          </w:p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</w:t>
            </w:r>
          </w:p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</w:t>
            </w:r>
          </w:p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</w:t>
            </w:r>
          </w:p>
          <w:p w:rsidR="005A690E" w:rsidRDefault="005A690E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5A690E" w:rsidRDefault="00D473A4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 w:rsidR="00D473A4" w:rsidRDefault="00D473A4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473A4" w:rsidRDefault="00D473A4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D473A4" w:rsidRDefault="00D473A4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5A690E" w:rsidRDefault="005A690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5A690E" w:rsidRDefault="005A690E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A690E" w:rsidRDefault="005A690E" w:rsidP="005A458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5A690E" w:rsidTr="00894806">
        <w:trPr>
          <w:trHeight w:val="339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5A690E" w:rsidRDefault="005A690E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5A690E" w:rsidRDefault="005A690E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</w:p>
        </w:tc>
      </w:tr>
      <w:tr w:rsidR="005A690E" w:rsidTr="00894806">
        <w:trPr>
          <w:trHeight w:val="235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D473A4" w:rsidRDefault="00D473A4" w:rsidP="00D473A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  <w:p w:rsidR="00D473A4" w:rsidRDefault="00D473A4" w:rsidP="00D473A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D473A4" w:rsidRDefault="00D473A4" w:rsidP="00D473A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5A690E" w:rsidRDefault="00D473A4" w:rsidP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5A690E" w:rsidRDefault="005A690E" w:rsidP="00B471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 w:rsidR="00B4718A">
              <w:rPr>
                <w:color w:val="000000"/>
                <w:sz w:val="24"/>
                <w:szCs w:val="24"/>
              </w:rPr>
              <w:t>ноябрь</w:t>
            </w:r>
            <w:r>
              <w:rPr>
                <w:color w:val="000000"/>
                <w:sz w:val="24"/>
                <w:szCs w:val="24"/>
              </w:rPr>
              <w:t xml:space="preserve"> месяц </w:t>
            </w:r>
          </w:p>
        </w:tc>
        <w:tc>
          <w:tcPr>
            <w:tcW w:w="2523" w:type="dxa"/>
          </w:tcPr>
          <w:p w:rsidR="005A690E" w:rsidRDefault="00D473A4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18.10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E12CC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5A690E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  <w:r w:rsidR="00E12CC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  <w:r w:rsidR="00D473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D473A4" w:rsidRPr="00F42AE9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E12CC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  <w:r w:rsidR="00D473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D473A4" w:rsidRPr="00F42AE9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lastRenderedPageBreak/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E12CC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6.7</w:t>
            </w:r>
            <w:r w:rsidR="005A690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5A690E" w:rsidRPr="00F42AE9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E12CC5">
              <w:rPr>
                <w:color w:val="000000"/>
                <w:sz w:val="24"/>
                <w:szCs w:val="24"/>
              </w:rPr>
              <w:t>.8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59429D" w:rsidRPr="002E7E8F" w:rsidRDefault="001F1902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 w:rsidRPr="002E7E8F">
              <w:rPr>
                <w:sz w:val="24"/>
                <w:szCs w:val="24"/>
              </w:rPr>
              <w:t>до 10.10</w:t>
            </w:r>
          </w:p>
          <w:p w:rsidR="001F1902" w:rsidRPr="002E7E8F" w:rsidRDefault="001F1902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 w:rsidRPr="002E7E8F">
              <w:rPr>
                <w:sz w:val="24"/>
                <w:szCs w:val="24"/>
              </w:rPr>
              <w:t>до 25.10</w:t>
            </w:r>
          </w:p>
          <w:p w:rsidR="005A690E" w:rsidRDefault="005A690E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:rsidR="005A690E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92" w:type="dxa"/>
            <w:gridSpan w:val="2"/>
          </w:tcPr>
          <w:p w:rsidR="00E12CC5" w:rsidRPr="00E12CC5" w:rsidRDefault="00E12CC5" w:rsidP="00E12C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</w:t>
            </w:r>
            <w:r w:rsidRPr="00E12CC5">
              <w:rPr>
                <w:color w:val="000000"/>
                <w:sz w:val="24"/>
                <w:szCs w:val="24"/>
              </w:rPr>
              <w:t>перечня документов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E12CC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соответствии с</w:t>
            </w:r>
            <w:r w:rsidRPr="00E12CC5">
              <w:rPr>
                <w:color w:val="000000"/>
                <w:sz w:val="24"/>
                <w:szCs w:val="24"/>
              </w:rPr>
              <w:t xml:space="preserve"> план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E12CC5">
              <w:rPr>
                <w:color w:val="000000"/>
                <w:sz w:val="24"/>
                <w:szCs w:val="24"/>
              </w:rPr>
              <w:t xml:space="preserve"> меропр</w:t>
            </w:r>
            <w:r w:rsidRPr="00E12CC5">
              <w:rPr>
                <w:color w:val="000000"/>
                <w:sz w:val="24"/>
                <w:szCs w:val="24"/>
              </w:rPr>
              <w:t>и</w:t>
            </w:r>
            <w:r w:rsidRPr="00E12CC5">
              <w:rPr>
                <w:color w:val="000000"/>
                <w:sz w:val="24"/>
                <w:szCs w:val="24"/>
              </w:rPr>
              <w:t>ятий по переходу на внутренний  электронный документооб</w:t>
            </w:r>
            <w:r w:rsidRPr="00E12CC5">
              <w:rPr>
                <w:color w:val="000000"/>
                <w:sz w:val="24"/>
                <w:szCs w:val="24"/>
              </w:rPr>
              <w:t>о</w:t>
            </w:r>
            <w:r w:rsidRPr="00E12CC5">
              <w:rPr>
                <w:color w:val="000000"/>
                <w:sz w:val="24"/>
                <w:szCs w:val="24"/>
              </w:rPr>
              <w:t>рот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color w:val="000000"/>
                <w:sz w:val="24"/>
                <w:szCs w:val="24"/>
              </w:rPr>
              <w:t>в Администрации</w:t>
            </w:r>
            <w:proofErr w:type="gramEnd"/>
            <w:r w:rsidRPr="00E12CC5">
              <w:rPr>
                <w:color w:val="000000"/>
                <w:sz w:val="24"/>
                <w:szCs w:val="24"/>
              </w:rPr>
              <w:t xml:space="preserve"> муниципального образования «Почи</w:t>
            </w:r>
            <w:r w:rsidRPr="00E12CC5">
              <w:rPr>
                <w:color w:val="000000"/>
                <w:sz w:val="24"/>
                <w:szCs w:val="24"/>
              </w:rPr>
              <w:t>н</w:t>
            </w:r>
            <w:r w:rsidRPr="00E12CC5">
              <w:rPr>
                <w:color w:val="000000"/>
                <w:sz w:val="24"/>
                <w:szCs w:val="24"/>
              </w:rPr>
              <w:t>ковский район»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color w:val="000000"/>
                <w:sz w:val="24"/>
                <w:szCs w:val="24"/>
              </w:rPr>
              <w:t>Смоленской области</w:t>
            </w:r>
          </w:p>
          <w:p w:rsidR="00E12CC5" w:rsidRDefault="00E12CC5" w:rsidP="007E439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E12CC5" w:rsidRDefault="00E12CC5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31.10</w:t>
            </w:r>
          </w:p>
        </w:tc>
        <w:tc>
          <w:tcPr>
            <w:tcW w:w="1750" w:type="dxa"/>
            <w:gridSpan w:val="2"/>
          </w:tcPr>
          <w:p w:rsidR="00E12CC5" w:rsidRDefault="00E12CC5" w:rsidP="00A93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A93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E12CC5" w:rsidTr="00894806">
        <w:trPr>
          <w:trHeight w:val="210"/>
        </w:trPr>
        <w:tc>
          <w:tcPr>
            <w:tcW w:w="15573" w:type="dxa"/>
            <w:gridSpan w:val="8"/>
          </w:tcPr>
          <w:p w:rsidR="00E12CC5" w:rsidRDefault="00E12CC5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E12CC5" w:rsidRDefault="00E12CC5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E12CC5" w:rsidRDefault="00E12CC5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E12CC5" w:rsidRDefault="00E12CC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E12CC5">
            <w:pPr>
              <w:ind w:left="-6"/>
              <w:rPr>
                <w:sz w:val="24"/>
                <w:szCs w:val="24"/>
              </w:rPr>
            </w:pPr>
          </w:p>
        </w:tc>
      </w:tr>
      <w:tr w:rsidR="00E12CC5" w:rsidTr="008051F0">
        <w:trPr>
          <w:trHeight w:val="692"/>
        </w:trPr>
        <w:tc>
          <w:tcPr>
            <w:tcW w:w="15573" w:type="dxa"/>
            <w:gridSpan w:val="8"/>
          </w:tcPr>
          <w:p w:rsidR="00E12CC5" w:rsidRDefault="00E12CC5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E12CC5" w:rsidRPr="007E439B" w:rsidRDefault="00E12CC5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E12CC5" w:rsidRDefault="00E12CC5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27.10</w:t>
            </w:r>
          </w:p>
        </w:tc>
        <w:tc>
          <w:tcPr>
            <w:tcW w:w="1750" w:type="dxa"/>
            <w:gridSpan w:val="2"/>
          </w:tcPr>
          <w:p w:rsidR="00E12CC5" w:rsidRDefault="00E12CC5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A4761E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3967AA">
            <w:pPr>
              <w:ind w:left="-6"/>
              <w:rPr>
                <w:sz w:val="24"/>
                <w:szCs w:val="24"/>
              </w:rPr>
            </w:pPr>
            <w:hyperlink r:id="rId12" w:history="1">
              <w:r w:rsidR="00E12CC5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E12CC5" w:rsidRDefault="00E12CC5" w:rsidP="00662FA2">
            <w:pPr>
              <w:jc w:val="both"/>
              <w:rPr>
                <w:sz w:val="24"/>
                <w:szCs w:val="24"/>
              </w:rPr>
            </w:pPr>
            <w:r w:rsidRPr="008051F0">
              <w:rPr>
                <w:sz w:val="24"/>
                <w:szCs w:val="24"/>
              </w:rPr>
              <w:t xml:space="preserve">Отчет по </w:t>
            </w:r>
            <w:r w:rsidRPr="00C267EA">
              <w:rPr>
                <w:sz w:val="24"/>
                <w:szCs w:val="24"/>
              </w:rPr>
              <w:t>массовым социально значимы</w:t>
            </w:r>
            <w:r>
              <w:rPr>
                <w:sz w:val="24"/>
                <w:szCs w:val="24"/>
              </w:rPr>
              <w:t>м</w:t>
            </w:r>
            <w:r w:rsidRPr="00C267EA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ам</w:t>
            </w:r>
            <w:r w:rsidRPr="008051F0">
              <w:rPr>
                <w:sz w:val="24"/>
                <w:szCs w:val="24"/>
              </w:rPr>
              <w:t xml:space="preserve"> в системе расчета показателей «цифровой зрелости»</w:t>
            </w:r>
          </w:p>
        </w:tc>
        <w:tc>
          <w:tcPr>
            <w:tcW w:w="2523" w:type="dxa"/>
          </w:tcPr>
          <w:p w:rsidR="00E12CC5" w:rsidRDefault="00E12CC5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27.10</w:t>
            </w:r>
          </w:p>
        </w:tc>
        <w:tc>
          <w:tcPr>
            <w:tcW w:w="1750" w:type="dxa"/>
            <w:gridSpan w:val="2"/>
          </w:tcPr>
          <w:p w:rsidR="00E12CC5" w:rsidRDefault="00E12CC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Pr="008051F0" w:rsidRDefault="003967AA">
            <w:pPr>
              <w:ind w:left="-6"/>
              <w:rPr>
                <w:sz w:val="24"/>
                <w:szCs w:val="24"/>
              </w:rPr>
            </w:pPr>
            <w:hyperlink r:id="rId13" w:history="1">
              <w:r w:rsidR="00E12CC5" w:rsidRPr="003242C4">
                <w:rPr>
                  <w:rStyle w:val="ac"/>
                  <w:sz w:val="24"/>
                  <w:szCs w:val="24"/>
                </w:rPr>
                <w:t>http://digitalmaturity.admin-smolensk.ru/</w:t>
              </w:r>
            </w:hyperlink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E12CC5" w:rsidRDefault="00E12CC5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</w:t>
            </w:r>
            <w:r w:rsidRPr="0066147D">
              <w:rPr>
                <w:sz w:val="24"/>
                <w:szCs w:val="24"/>
              </w:rPr>
              <w:lastRenderedPageBreak/>
              <w:t xml:space="preserve">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E12CC5" w:rsidRDefault="00E12CC5" w:rsidP="00D473A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07.10</w:t>
            </w:r>
          </w:p>
          <w:p w:rsidR="00E12CC5" w:rsidRDefault="00E12CC5" w:rsidP="00D473A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  <w:p w:rsidR="00E12CC5" w:rsidRDefault="00E12CC5" w:rsidP="00D473A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  <w:p w:rsidR="00E12CC5" w:rsidRDefault="00E12CC5" w:rsidP="00D47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750" w:type="dxa"/>
            <w:gridSpan w:val="2"/>
          </w:tcPr>
          <w:p w:rsidR="00E12CC5" w:rsidRDefault="00E12CC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Ковалев А.С.</w:t>
            </w:r>
          </w:p>
        </w:tc>
        <w:tc>
          <w:tcPr>
            <w:tcW w:w="1935" w:type="dxa"/>
          </w:tcPr>
          <w:p w:rsidR="00E12CC5" w:rsidRDefault="00E12CC5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3967AA" w:rsidP="000C78A8">
            <w:pPr>
              <w:ind w:left="-6"/>
              <w:rPr>
                <w:sz w:val="24"/>
                <w:szCs w:val="24"/>
              </w:rPr>
            </w:pPr>
            <w:hyperlink r:id="rId14" w:history="1">
              <w:r w:rsidR="00E12CC5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6692" w:type="dxa"/>
            <w:gridSpan w:val="2"/>
          </w:tcPr>
          <w:p w:rsidR="00E12CC5" w:rsidRPr="008051F0" w:rsidRDefault="00E12CC5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на запрос Прокуратуры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от 22.10.2020 № 19-161в-70</w:t>
            </w:r>
          </w:p>
        </w:tc>
        <w:tc>
          <w:tcPr>
            <w:tcW w:w="2523" w:type="dxa"/>
          </w:tcPr>
          <w:p w:rsidR="00E12CC5" w:rsidRDefault="00E12CC5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:rsidR="00E12CC5" w:rsidRDefault="00E12CC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Pr="008051F0" w:rsidRDefault="00E12CC5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E12CC5" w:rsidTr="00894806">
        <w:trPr>
          <w:trHeight w:val="235"/>
        </w:trPr>
        <w:tc>
          <w:tcPr>
            <w:tcW w:w="15573" w:type="dxa"/>
            <w:gridSpan w:val="8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E12CC5" w:rsidRDefault="00E12CC5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E12CC5" w:rsidRDefault="00E12CC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E12CC5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ласти в прокуратуру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23" w:type="dxa"/>
          </w:tcPr>
          <w:p w:rsidR="00E12CC5" w:rsidRDefault="00E1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  <w:p w:rsidR="00E12CC5" w:rsidRDefault="00E12C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  <w:p w:rsidR="00E12CC5" w:rsidRDefault="00E12CC5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E12CC5" w:rsidRDefault="00E12CC5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  <w:p w:rsidR="00E12CC5" w:rsidRDefault="00E12CC5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1750" w:type="dxa"/>
            <w:gridSpan w:val="2"/>
          </w:tcPr>
          <w:p w:rsidR="00E12CC5" w:rsidRDefault="00E12CC5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A4761E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E12CC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E12CC5" w:rsidRDefault="00E12CC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E12CC5" w:rsidTr="0058587E">
        <w:trPr>
          <w:trHeight w:val="582"/>
        </w:trPr>
        <w:tc>
          <w:tcPr>
            <w:tcW w:w="708" w:type="dxa"/>
          </w:tcPr>
          <w:p w:rsidR="00E12CC5" w:rsidRDefault="00E12CC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E12CC5" w:rsidRDefault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E12CC5" w:rsidRDefault="00E12CC5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E12CC5" w:rsidRDefault="00E12CC5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E12CC5">
            <w:pPr>
              <w:ind w:left="-6"/>
              <w:rPr>
                <w:sz w:val="24"/>
                <w:szCs w:val="24"/>
              </w:rPr>
            </w:pPr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E12CC5" w:rsidRPr="007E439B" w:rsidRDefault="00E12CC5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 xml:space="preserve">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E12CC5" w:rsidRDefault="00E12CC5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E12CC5" w:rsidRDefault="00E12CC5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A935F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E12CC5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E12CC5" w:rsidTr="00894806">
        <w:trPr>
          <w:trHeight w:val="569"/>
        </w:trPr>
        <w:tc>
          <w:tcPr>
            <w:tcW w:w="708" w:type="dxa"/>
          </w:tcPr>
          <w:p w:rsidR="00E12CC5" w:rsidRDefault="00E12CC5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E12CC5" w:rsidRPr="0058587E" w:rsidRDefault="00E12CC5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E12CC5" w:rsidRDefault="00E12CC5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E12CC5" w:rsidRDefault="00E12CC5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E12CC5" w:rsidRDefault="00E12CC5" w:rsidP="00A935F5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E12CC5" w:rsidRDefault="00E12CC5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footerReference w:type="default" r:id="rId15"/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AA" w:rsidRDefault="003967AA" w:rsidP="00DC6DD4">
      <w:r>
        <w:separator/>
      </w:r>
    </w:p>
  </w:endnote>
  <w:endnote w:type="continuationSeparator" w:id="0">
    <w:p w:rsidR="003967AA" w:rsidRDefault="003967AA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7B9" w:rsidRPr="004727B9" w:rsidRDefault="004727B9">
    <w:pPr>
      <w:pStyle w:val="aa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 xml:space="preserve">роект-05630 от 16.09.2022, Подписано ЭП: Ковалев Алексей Сергеевич,  19.09.2022 12:33:15;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 19.09.2022 17:10:14,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AA" w:rsidRDefault="003967AA" w:rsidP="00DC6DD4">
      <w:r>
        <w:separator/>
      </w:r>
    </w:p>
  </w:footnote>
  <w:footnote w:type="continuationSeparator" w:id="0">
    <w:p w:rsidR="003967AA" w:rsidRDefault="003967AA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35DF7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13F3"/>
    <w:rsid w:val="001C6A36"/>
    <w:rsid w:val="001F1902"/>
    <w:rsid w:val="00244761"/>
    <w:rsid w:val="00282822"/>
    <w:rsid w:val="00290841"/>
    <w:rsid w:val="002B5EDB"/>
    <w:rsid w:val="002E7E8F"/>
    <w:rsid w:val="003967AA"/>
    <w:rsid w:val="00431A57"/>
    <w:rsid w:val="00465BD1"/>
    <w:rsid w:val="004727B9"/>
    <w:rsid w:val="004B5B96"/>
    <w:rsid w:val="004C0206"/>
    <w:rsid w:val="004E12D6"/>
    <w:rsid w:val="0058587E"/>
    <w:rsid w:val="0059429D"/>
    <w:rsid w:val="005A690E"/>
    <w:rsid w:val="005B77DF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94806"/>
    <w:rsid w:val="008A672D"/>
    <w:rsid w:val="008B412F"/>
    <w:rsid w:val="008F70FF"/>
    <w:rsid w:val="0095572F"/>
    <w:rsid w:val="00964521"/>
    <w:rsid w:val="009978AF"/>
    <w:rsid w:val="009D2469"/>
    <w:rsid w:val="009E5F37"/>
    <w:rsid w:val="009F4B67"/>
    <w:rsid w:val="00AE5D45"/>
    <w:rsid w:val="00B06476"/>
    <w:rsid w:val="00B468A7"/>
    <w:rsid w:val="00B4718A"/>
    <w:rsid w:val="00B62D9E"/>
    <w:rsid w:val="00BA41D5"/>
    <w:rsid w:val="00BA4D73"/>
    <w:rsid w:val="00C24E39"/>
    <w:rsid w:val="00C267EA"/>
    <w:rsid w:val="00C71C92"/>
    <w:rsid w:val="00CE727D"/>
    <w:rsid w:val="00D473A4"/>
    <w:rsid w:val="00DB489B"/>
    <w:rsid w:val="00DC6DD4"/>
    <w:rsid w:val="00E12CC5"/>
    <w:rsid w:val="00E47398"/>
    <w:rsid w:val="00E621BA"/>
    <w:rsid w:val="00EB7878"/>
    <w:rsid w:val="00EB7B77"/>
    <w:rsid w:val="00F42AE9"/>
    <w:rsid w:val="00F571F4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talmaturity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hyperlink" Target="http://vacstat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EB96-AF9B-4D94-AD5D-DD8BDB6B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Знаешева Марина Константиновна</cp:lastModifiedBy>
  <cp:revision>2</cp:revision>
  <dcterms:created xsi:type="dcterms:W3CDTF">2022-11-02T14:28:00Z</dcterms:created>
  <dcterms:modified xsi:type="dcterms:W3CDTF">2022-11-02T14:28:00Z</dcterms:modified>
</cp:coreProperties>
</file>