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250" w:rsidRPr="007E4EF9" w:rsidRDefault="007E4EF9" w:rsidP="007E4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E4EF9">
        <w:rPr>
          <w:rFonts w:ascii="Times New Roman" w:hAnsi="Times New Roman" w:cs="Times New Roman"/>
          <w:b/>
          <w:sz w:val="28"/>
          <w:szCs w:val="28"/>
        </w:rPr>
        <w:t>Гарантийная поддержка субъектов МСП (НГС)</w:t>
      </w:r>
    </w:p>
    <w:p w:rsidR="007E4EF9" w:rsidRPr="007E4EF9" w:rsidRDefault="007E4EF9" w:rsidP="007E4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4EF9">
        <w:rPr>
          <w:rFonts w:ascii="Times New Roman" w:hAnsi="Times New Roman" w:cs="Times New Roman"/>
          <w:sz w:val="28"/>
          <w:szCs w:val="28"/>
        </w:rPr>
        <w:t>Стратегическим фокусом для Национальной гарантийной системы (НГС) является увеличение объемов гарантийной поддержки МСП и повышение эффективности использования гарантийного капитала. </w:t>
      </w:r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4EF9">
        <w:rPr>
          <w:rFonts w:ascii="Times New Roman" w:hAnsi="Times New Roman" w:cs="Times New Roman"/>
          <w:sz w:val="28"/>
          <w:szCs w:val="28"/>
        </w:rPr>
        <w:t>НГС повысит эффективность предоставления гарантийной поддержки субъектам МСП, сократит издержки и риски за счет унификации технологий, стандартов, документации, информационного взаимодействия и подходов к оценке рисков. </w:t>
      </w:r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4EF9">
        <w:rPr>
          <w:rFonts w:ascii="Times New Roman" w:hAnsi="Times New Roman" w:cs="Times New Roman"/>
          <w:sz w:val="28"/>
          <w:szCs w:val="28"/>
        </w:rPr>
        <w:t>В рамках НГС функционирует трехуровневая целевая модель оказания гарантийной поддержки субъектам МСП, включающая в себя: АО «Корпорация «МСП», АО «МСП Банк» и региональные гарантийные организации (РГО). </w:t>
      </w:r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4EF9">
        <w:rPr>
          <w:rFonts w:ascii="Times New Roman" w:hAnsi="Times New Roman" w:cs="Times New Roman"/>
          <w:sz w:val="28"/>
          <w:szCs w:val="28"/>
        </w:rPr>
        <w:t>АО «Корпорация «МСП» сфокусирует свои усилия на предоставлении гарантий субъектам МСП в рамках реализации средних и крупных проектов, целевых программ.</w:t>
      </w:r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r w:rsidRPr="007E4EF9">
        <w:rPr>
          <w:rFonts w:ascii="Times New Roman" w:hAnsi="Times New Roman" w:cs="Times New Roman"/>
          <w:sz w:val="28"/>
          <w:szCs w:val="28"/>
        </w:rPr>
        <w:t>Фокус деятельности АО «МСП Банк» и РГО будет направлен на применение «поточных» технологий и предоставление гарантий и поручительств в массовом сегменте рынка. Распределение продуктового предложения и лимитов между АО «МСП Банк» и РГО планируется осуществить на основании дифференцированного подхода. </w:t>
      </w:r>
    </w:p>
    <w:p w:rsid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A1AD4">
          <w:rPr>
            <w:rStyle w:val="a3"/>
            <w:rFonts w:ascii="Times New Roman" w:hAnsi="Times New Roman" w:cs="Times New Roman"/>
            <w:sz w:val="28"/>
            <w:szCs w:val="28"/>
          </w:rPr>
          <w:t>https://corpmsp.ru/bankam/trebovania/ostatok-limita/</w:t>
        </w:r>
      </w:hyperlink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EF9" w:rsidRPr="007E4EF9" w:rsidRDefault="007E4EF9" w:rsidP="007E4E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EF9" w:rsidRPr="007E4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F9"/>
    <w:rsid w:val="007E4EF9"/>
    <w:rsid w:val="0084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msp.ru/bankam/trebovania/ostatok-lim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Князева Наталья Александровна</cp:lastModifiedBy>
  <cp:revision>1</cp:revision>
  <dcterms:created xsi:type="dcterms:W3CDTF">2020-10-12T11:32:00Z</dcterms:created>
  <dcterms:modified xsi:type="dcterms:W3CDTF">2020-10-12T11:33:00Z</dcterms:modified>
</cp:coreProperties>
</file>